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5F" w:rsidRPr="000D406A" w:rsidRDefault="0095755F" w:rsidP="00165396">
      <w:pPr>
        <w:widowControl/>
        <w:autoSpaceDE/>
        <w:autoSpaceDN/>
        <w:adjustRightInd/>
        <w:spacing w:before="0" w:line="360" w:lineRule="auto"/>
        <w:ind w:left="360" w:firstLine="0"/>
        <w:jc w:val="center"/>
        <w:textAlignment w:val="auto"/>
        <w:rPr>
          <w:rFonts w:cs="David"/>
          <w:b/>
          <w:bCs/>
          <w:sz w:val="26"/>
          <w:szCs w:val="26"/>
          <w:rtl/>
        </w:rPr>
      </w:pPr>
      <w:bookmarkStart w:id="0" w:name="_GoBack"/>
      <w:bookmarkEnd w:id="0"/>
      <w:r w:rsidRPr="000D406A">
        <w:rPr>
          <w:rFonts w:cs="David"/>
          <w:b/>
          <w:bCs/>
          <w:sz w:val="26"/>
          <w:szCs w:val="26"/>
          <w:rtl/>
        </w:rPr>
        <w:t>תזכיר חוק ה</w:t>
      </w:r>
      <w:r w:rsidRPr="000D406A">
        <w:rPr>
          <w:rFonts w:cs="David" w:hint="cs"/>
          <w:b/>
          <w:bCs/>
          <w:sz w:val="26"/>
          <w:szCs w:val="26"/>
          <w:rtl/>
        </w:rPr>
        <w:t>התייעלות</w:t>
      </w:r>
      <w:r w:rsidRPr="000D406A">
        <w:rPr>
          <w:rFonts w:cs="David"/>
          <w:b/>
          <w:bCs/>
          <w:sz w:val="26"/>
          <w:szCs w:val="26"/>
          <w:rtl/>
        </w:rPr>
        <w:t xml:space="preserve"> הכלכלית (תיקוני חקיקה</w:t>
      </w:r>
      <w:r w:rsidRPr="000D406A">
        <w:rPr>
          <w:rFonts w:cs="David" w:hint="cs"/>
          <w:b/>
          <w:bCs/>
          <w:sz w:val="26"/>
          <w:szCs w:val="26"/>
          <w:rtl/>
        </w:rPr>
        <w:t xml:space="preserve"> להשגת יעדי התקציב לשנת 2019</w:t>
      </w:r>
      <w:r w:rsidRPr="000D406A">
        <w:rPr>
          <w:rFonts w:cs="David"/>
          <w:b/>
          <w:bCs/>
          <w:sz w:val="26"/>
          <w:szCs w:val="26"/>
          <w:rtl/>
        </w:rPr>
        <w:t>), התשע"ח</w:t>
      </w:r>
      <w:r w:rsidR="00165396">
        <w:rPr>
          <w:rFonts w:cs="David" w:hint="cs"/>
          <w:b/>
          <w:bCs/>
          <w:sz w:val="26"/>
          <w:szCs w:val="26"/>
          <w:rtl/>
        </w:rPr>
        <w:t>-</w:t>
      </w:r>
      <w:r w:rsidRPr="000D406A">
        <w:rPr>
          <w:rFonts w:cs="David"/>
          <w:b/>
          <w:bCs/>
          <w:sz w:val="26"/>
          <w:szCs w:val="26"/>
          <w:rtl/>
        </w:rPr>
        <w:t>2018</w:t>
      </w:r>
      <w:r w:rsidRPr="000D406A">
        <w:rPr>
          <w:rFonts w:cs="David" w:hint="cs"/>
          <w:b/>
          <w:bCs/>
          <w:sz w:val="26"/>
          <w:szCs w:val="26"/>
          <w:rtl/>
        </w:rPr>
        <w:t xml:space="preserve">  - </w:t>
      </w:r>
      <w:r w:rsidRPr="000D406A">
        <w:rPr>
          <w:rFonts w:cs="David"/>
          <w:b/>
          <w:bCs/>
          <w:sz w:val="26"/>
          <w:szCs w:val="26"/>
          <w:rtl/>
        </w:rPr>
        <w:t>פרק __':</w:t>
      </w:r>
      <w:r w:rsidRPr="000D406A">
        <w:rPr>
          <w:rFonts w:cs="David" w:hint="cs"/>
          <w:b/>
          <w:bCs/>
          <w:sz w:val="26"/>
          <w:szCs w:val="26"/>
          <w:rtl/>
        </w:rPr>
        <w:t xml:space="preserve"> מיסים</w:t>
      </w:r>
    </w:p>
    <w:p w:rsidR="0095755F" w:rsidRPr="000D406A" w:rsidRDefault="0095755F" w:rsidP="000D406A">
      <w:pPr>
        <w:widowControl/>
        <w:autoSpaceDE/>
        <w:autoSpaceDN/>
        <w:adjustRightInd/>
        <w:spacing w:before="0" w:line="360" w:lineRule="auto"/>
        <w:ind w:left="360" w:firstLine="0"/>
        <w:textAlignment w:val="auto"/>
        <w:rPr>
          <w:rFonts w:cs="David"/>
          <w:b/>
          <w:bCs/>
          <w:sz w:val="26"/>
          <w:szCs w:val="26"/>
          <w:u w:val="single"/>
          <w:rtl/>
        </w:rPr>
      </w:pPr>
    </w:p>
    <w:p w:rsidR="0095755F" w:rsidRPr="000D406A" w:rsidRDefault="0095755F" w:rsidP="000D406A">
      <w:pPr>
        <w:widowControl/>
        <w:autoSpaceDE/>
        <w:autoSpaceDN/>
        <w:adjustRightInd/>
        <w:spacing w:before="0" w:line="360" w:lineRule="auto"/>
        <w:ind w:left="360" w:firstLine="0"/>
        <w:textAlignment w:val="auto"/>
        <w:rPr>
          <w:rFonts w:ascii="Times New Roman" w:eastAsia="Times New Roman" w:hAnsi="Times New Roman" w:cs="David"/>
          <w:color w:val="auto"/>
          <w:spacing w:val="0"/>
          <w:sz w:val="26"/>
          <w:szCs w:val="26"/>
          <w:rtl/>
          <w:lang w:eastAsia="he-IL"/>
        </w:rPr>
      </w:pPr>
      <w:r w:rsidRPr="000D406A">
        <w:rPr>
          <w:rFonts w:ascii="Times New Roman" w:eastAsia="Times New Roman" w:hAnsi="Times New Roman" w:cs="David" w:hint="cs"/>
          <w:color w:val="auto"/>
          <w:spacing w:val="0"/>
          <w:sz w:val="26"/>
          <w:szCs w:val="26"/>
          <w:rtl/>
          <w:lang w:eastAsia="he-IL"/>
        </w:rPr>
        <w:t xml:space="preserve">תזכיר זה מיישם את החלטות הממשלה מיום 11 בינואר 2018, והוא צפוי לעלות על סדר יומה של ועדת השרים המיוחדת לעניין התכנית הכלכלית לשנת 2019, לאחר המועד האחרון למתן הערות הציבור. </w:t>
      </w:r>
    </w:p>
    <w:p w:rsidR="005404FD" w:rsidRPr="000D406A" w:rsidRDefault="005404FD" w:rsidP="000D406A">
      <w:pPr>
        <w:widowControl/>
        <w:autoSpaceDE/>
        <w:autoSpaceDN/>
        <w:adjustRightInd/>
        <w:spacing w:before="0" w:line="360" w:lineRule="auto"/>
        <w:ind w:left="360" w:firstLine="0"/>
        <w:textAlignment w:val="auto"/>
        <w:rPr>
          <w:rFonts w:ascii="Times New Roman" w:eastAsia="Times New Roman" w:hAnsi="Times New Roman" w:cs="David"/>
          <w:color w:val="auto"/>
          <w:spacing w:val="0"/>
          <w:sz w:val="26"/>
          <w:szCs w:val="26"/>
          <w:lang w:eastAsia="he-IL"/>
        </w:rPr>
      </w:pPr>
    </w:p>
    <w:p w:rsidR="001B10A8" w:rsidRPr="000D406A" w:rsidRDefault="001B10A8" w:rsidP="000D406A">
      <w:pPr>
        <w:widowControl/>
        <w:numPr>
          <w:ilvl w:val="0"/>
          <w:numId w:val="2"/>
        </w:numPr>
        <w:autoSpaceDE/>
        <w:autoSpaceDN/>
        <w:adjustRightInd/>
        <w:spacing w:before="0" w:line="360" w:lineRule="auto"/>
        <w:textAlignment w:val="auto"/>
        <w:rPr>
          <w:rFonts w:cs="David"/>
          <w:b/>
          <w:bCs/>
          <w:sz w:val="26"/>
          <w:szCs w:val="26"/>
          <w:rtl/>
        </w:rPr>
      </w:pPr>
      <w:r w:rsidRPr="000D406A">
        <w:rPr>
          <w:rFonts w:cs="David"/>
          <w:b/>
          <w:bCs/>
          <w:sz w:val="26"/>
          <w:szCs w:val="26"/>
          <w:u w:val="single"/>
          <w:rtl/>
        </w:rPr>
        <w:t>שם החוק המוצע</w:t>
      </w:r>
    </w:p>
    <w:p w:rsidR="0095755F" w:rsidRPr="000D406A" w:rsidRDefault="0095755F" w:rsidP="000D406A">
      <w:pPr>
        <w:widowControl/>
        <w:autoSpaceDE/>
        <w:autoSpaceDN/>
        <w:adjustRightInd/>
        <w:spacing w:before="0" w:line="360" w:lineRule="auto"/>
        <w:ind w:left="360" w:firstLine="0"/>
        <w:textAlignment w:val="auto"/>
        <w:rPr>
          <w:rFonts w:ascii="Times New Roman" w:eastAsia="Times New Roman" w:hAnsi="Times New Roman" w:cs="David"/>
          <w:color w:val="auto"/>
          <w:spacing w:val="0"/>
          <w:sz w:val="26"/>
          <w:szCs w:val="26"/>
          <w:rtl/>
          <w:lang w:eastAsia="he-IL"/>
        </w:rPr>
      </w:pPr>
    </w:p>
    <w:p w:rsidR="0095755F" w:rsidRPr="000D406A" w:rsidRDefault="0095755F" w:rsidP="00165396">
      <w:pPr>
        <w:widowControl/>
        <w:autoSpaceDE/>
        <w:autoSpaceDN/>
        <w:adjustRightInd/>
        <w:spacing w:before="0" w:line="360" w:lineRule="auto"/>
        <w:ind w:left="360" w:firstLine="0"/>
        <w:textAlignment w:val="auto"/>
        <w:rPr>
          <w:rFonts w:cs="David"/>
          <w:b/>
          <w:bCs/>
          <w:sz w:val="26"/>
          <w:szCs w:val="26"/>
          <w:u w:val="single"/>
          <w:rtl/>
        </w:rPr>
      </w:pPr>
      <w:r w:rsidRPr="000D406A">
        <w:rPr>
          <w:rFonts w:ascii="Times New Roman" w:eastAsia="Times New Roman" w:hAnsi="Times New Roman" w:cs="David"/>
          <w:color w:val="auto"/>
          <w:spacing w:val="0"/>
          <w:sz w:val="26"/>
          <w:szCs w:val="26"/>
          <w:rtl/>
          <w:lang w:eastAsia="he-IL"/>
        </w:rPr>
        <w:t>תזכיר חוק ההתייעלות הכלכלית (תיקוני חקיקה להשגת יעדי התקציב לשנת 2019), התשע"ח</w:t>
      </w:r>
      <w:r w:rsidR="00165396">
        <w:rPr>
          <w:rFonts w:ascii="Times New Roman" w:eastAsia="Times New Roman" w:hAnsi="Times New Roman" w:cs="David" w:hint="cs"/>
          <w:color w:val="auto"/>
          <w:spacing w:val="0"/>
          <w:sz w:val="26"/>
          <w:szCs w:val="26"/>
          <w:rtl/>
          <w:lang w:eastAsia="he-IL"/>
        </w:rPr>
        <w:t>-</w:t>
      </w:r>
      <w:r w:rsidRPr="000D406A">
        <w:rPr>
          <w:rFonts w:ascii="Times New Roman" w:eastAsia="Times New Roman" w:hAnsi="Times New Roman" w:cs="David"/>
          <w:color w:val="auto"/>
          <w:spacing w:val="0"/>
          <w:sz w:val="26"/>
          <w:szCs w:val="26"/>
          <w:rtl/>
          <w:lang w:eastAsia="he-IL"/>
        </w:rPr>
        <w:t>2018  - פרק __': מיסים</w:t>
      </w:r>
      <w:r w:rsidRPr="000D406A">
        <w:rPr>
          <w:rFonts w:cs="David" w:hint="cs"/>
          <w:b/>
          <w:bCs/>
          <w:sz w:val="26"/>
          <w:szCs w:val="26"/>
          <w:rtl/>
        </w:rPr>
        <w:t>.</w:t>
      </w:r>
    </w:p>
    <w:p w:rsidR="0095755F" w:rsidRPr="000D406A" w:rsidRDefault="0095755F" w:rsidP="000D406A">
      <w:pPr>
        <w:widowControl/>
        <w:autoSpaceDE/>
        <w:autoSpaceDN/>
        <w:adjustRightInd/>
        <w:spacing w:before="0" w:line="360" w:lineRule="auto"/>
        <w:ind w:left="360" w:firstLine="0"/>
        <w:textAlignment w:val="auto"/>
        <w:rPr>
          <w:rFonts w:cs="David"/>
          <w:b/>
          <w:bCs/>
          <w:sz w:val="26"/>
          <w:szCs w:val="26"/>
          <w:u w:val="single"/>
          <w:rtl/>
        </w:rPr>
      </w:pPr>
    </w:p>
    <w:p w:rsidR="001B10A8" w:rsidRPr="000D406A" w:rsidRDefault="0091561A" w:rsidP="000D406A">
      <w:pPr>
        <w:widowControl/>
        <w:numPr>
          <w:ilvl w:val="0"/>
          <w:numId w:val="2"/>
        </w:numPr>
        <w:autoSpaceDE/>
        <w:autoSpaceDN/>
        <w:adjustRightInd/>
        <w:spacing w:before="0" w:line="360" w:lineRule="auto"/>
        <w:textAlignment w:val="auto"/>
        <w:rPr>
          <w:rFonts w:cs="David"/>
          <w:b/>
          <w:bCs/>
          <w:sz w:val="26"/>
          <w:szCs w:val="26"/>
          <w:u w:val="single"/>
        </w:rPr>
      </w:pPr>
      <w:r w:rsidRPr="000D406A">
        <w:rPr>
          <w:rFonts w:cs="David" w:hint="cs"/>
          <w:b/>
          <w:bCs/>
          <w:sz w:val="26"/>
          <w:szCs w:val="26"/>
          <w:u w:val="single"/>
          <w:rtl/>
        </w:rPr>
        <w:t>עיקרי החוק המוצע ומטרותיו</w:t>
      </w:r>
    </w:p>
    <w:p w:rsidR="001B10A8" w:rsidRPr="000D406A" w:rsidRDefault="001B10A8" w:rsidP="000D406A">
      <w:pPr>
        <w:widowControl/>
        <w:autoSpaceDE/>
        <w:autoSpaceDN/>
        <w:adjustRightInd/>
        <w:spacing w:before="0" w:line="360" w:lineRule="auto"/>
        <w:ind w:left="360" w:firstLine="0"/>
        <w:textAlignment w:val="auto"/>
        <w:rPr>
          <w:rFonts w:cs="David"/>
          <w:b/>
          <w:bCs/>
          <w:sz w:val="26"/>
          <w:szCs w:val="26"/>
          <w:u w:val="single"/>
        </w:rPr>
      </w:pPr>
    </w:p>
    <w:p w:rsidR="0073180F" w:rsidRPr="000D406A" w:rsidRDefault="00734BE0" w:rsidP="000D406A">
      <w:pPr>
        <w:pStyle w:val="Hesber"/>
        <w:ind w:left="360" w:firstLine="0"/>
        <w:rPr>
          <w:b/>
          <w:bCs/>
          <w:sz w:val="26"/>
          <w:rtl/>
        </w:rPr>
      </w:pPr>
      <w:r w:rsidRPr="000D406A">
        <w:rPr>
          <w:rFonts w:hint="cs"/>
          <w:b/>
          <w:bCs/>
          <w:sz w:val="26"/>
          <w:rtl/>
        </w:rPr>
        <w:t>לסעיף 1</w:t>
      </w:r>
    </w:p>
    <w:p w:rsidR="0073180F" w:rsidRPr="000D406A" w:rsidRDefault="0073180F" w:rsidP="000D406A">
      <w:pPr>
        <w:pStyle w:val="Hesber"/>
        <w:ind w:left="360" w:firstLine="0"/>
        <w:rPr>
          <w:sz w:val="26"/>
          <w:rtl/>
        </w:rPr>
      </w:pPr>
    </w:p>
    <w:p w:rsidR="0095755F" w:rsidRPr="000D406A" w:rsidRDefault="00734BE0" w:rsidP="000D406A">
      <w:pPr>
        <w:pStyle w:val="Hesber"/>
        <w:ind w:left="360" w:firstLine="0"/>
        <w:rPr>
          <w:sz w:val="26"/>
          <w:rtl/>
        </w:rPr>
      </w:pPr>
      <w:r w:rsidRPr="000D406A">
        <w:rPr>
          <w:sz w:val="26"/>
          <w:rtl/>
        </w:rPr>
        <w:t>על מנת להגדיל את ההכנסה הפנויה בקרב משפחות המצויות במעגל העבודה, מוצע לתקן את פקודת מס הכנסה, כך שהטבות המס הניתנות לשנים 2017 ו-2018 בחוק מס הכנסה (הגדלת נקודות זיכוי להורים)</w:t>
      </w:r>
      <w:r w:rsidR="0095755F" w:rsidRPr="000D406A">
        <w:rPr>
          <w:sz w:val="26"/>
          <w:rtl/>
        </w:rPr>
        <w:t>(הוראת שעה), התשע"ז-2017, י</w:t>
      </w:r>
      <w:r w:rsidR="0095755F" w:rsidRPr="000D406A">
        <w:rPr>
          <w:rFonts w:hint="cs"/>
          <w:sz w:val="26"/>
          <w:rtl/>
        </w:rPr>
        <w:t>יכללו</w:t>
      </w:r>
      <w:r w:rsidRPr="000D406A">
        <w:rPr>
          <w:sz w:val="26"/>
          <w:rtl/>
        </w:rPr>
        <w:t xml:space="preserve"> בפקודת מס הכנסה </w:t>
      </w:r>
      <w:r w:rsidR="0095755F" w:rsidRPr="000D406A">
        <w:rPr>
          <w:rFonts w:hint="cs"/>
          <w:sz w:val="26"/>
          <w:rtl/>
        </w:rPr>
        <w:t xml:space="preserve">[נוסח חדש] (להלן </w:t>
      </w:r>
      <w:r w:rsidR="0095755F" w:rsidRPr="000D406A">
        <w:rPr>
          <w:sz w:val="26"/>
          <w:rtl/>
        </w:rPr>
        <w:t>–</w:t>
      </w:r>
      <w:r w:rsidR="0095755F" w:rsidRPr="000D406A">
        <w:rPr>
          <w:rFonts w:hint="cs"/>
          <w:sz w:val="26"/>
          <w:rtl/>
        </w:rPr>
        <w:t xml:space="preserve"> </w:t>
      </w:r>
      <w:r w:rsidR="0095755F" w:rsidRPr="000D406A">
        <w:rPr>
          <w:rFonts w:hint="cs"/>
          <w:b/>
          <w:bCs/>
          <w:sz w:val="26"/>
          <w:rtl/>
        </w:rPr>
        <w:t>פקודת מס הכנסה</w:t>
      </w:r>
      <w:r w:rsidR="0095755F" w:rsidRPr="000D406A">
        <w:rPr>
          <w:rFonts w:hint="cs"/>
          <w:sz w:val="26"/>
          <w:rtl/>
        </w:rPr>
        <w:t xml:space="preserve">), </w:t>
      </w:r>
      <w:r w:rsidRPr="000D406A">
        <w:rPr>
          <w:sz w:val="26"/>
          <w:rtl/>
        </w:rPr>
        <w:t xml:space="preserve">באופן קבוע לשנים 2019 ואילך. </w:t>
      </w:r>
    </w:p>
    <w:p w:rsidR="0095755F" w:rsidRPr="000D406A" w:rsidRDefault="0095755F" w:rsidP="000D406A">
      <w:pPr>
        <w:pStyle w:val="Hesber"/>
        <w:ind w:left="360" w:firstLine="0"/>
        <w:rPr>
          <w:sz w:val="26"/>
          <w:rtl/>
        </w:rPr>
      </w:pPr>
    </w:p>
    <w:p w:rsidR="00734BE0" w:rsidRPr="000D406A" w:rsidRDefault="0095755F" w:rsidP="000D406A">
      <w:pPr>
        <w:pStyle w:val="Hesber"/>
        <w:ind w:left="360" w:firstLine="0"/>
        <w:rPr>
          <w:sz w:val="26"/>
          <w:rtl/>
        </w:rPr>
      </w:pPr>
      <w:r w:rsidRPr="000D406A">
        <w:rPr>
          <w:rFonts w:hint="cs"/>
          <w:sz w:val="26"/>
          <w:rtl/>
        </w:rPr>
        <w:t>להלן יפורטו</w:t>
      </w:r>
      <w:r w:rsidR="00734BE0" w:rsidRPr="000D406A">
        <w:rPr>
          <w:sz w:val="26"/>
          <w:rtl/>
        </w:rPr>
        <w:t xml:space="preserve"> הטבות המס</w:t>
      </w:r>
      <w:r w:rsidRPr="000D406A">
        <w:rPr>
          <w:rFonts w:hint="cs"/>
          <w:sz w:val="26"/>
          <w:rtl/>
        </w:rPr>
        <w:t>,</w:t>
      </w:r>
      <w:r w:rsidR="00734BE0" w:rsidRPr="000D406A">
        <w:rPr>
          <w:sz w:val="26"/>
          <w:rtl/>
        </w:rPr>
        <w:t xml:space="preserve"> אשר מוצע להאריך</w:t>
      </w:r>
      <w:r w:rsidRPr="000D406A">
        <w:rPr>
          <w:rFonts w:hint="cs"/>
          <w:sz w:val="26"/>
          <w:rtl/>
        </w:rPr>
        <w:t xml:space="preserve"> את תוקפן</w:t>
      </w:r>
      <w:r w:rsidR="00734BE0" w:rsidRPr="000D406A">
        <w:rPr>
          <w:sz w:val="26"/>
          <w:rtl/>
        </w:rPr>
        <w:t>:</w:t>
      </w:r>
    </w:p>
    <w:p w:rsidR="00734BE0" w:rsidRPr="000D406A" w:rsidRDefault="00734BE0" w:rsidP="000D406A">
      <w:pPr>
        <w:pStyle w:val="Hesber"/>
        <w:ind w:left="360" w:firstLine="0"/>
        <w:rPr>
          <w:sz w:val="26"/>
          <w:rtl/>
        </w:rPr>
      </w:pPr>
    </w:p>
    <w:p w:rsidR="0073180F" w:rsidRPr="000D406A" w:rsidRDefault="0095755F" w:rsidP="000D406A">
      <w:pPr>
        <w:pStyle w:val="Hesber"/>
        <w:ind w:left="360" w:firstLine="0"/>
        <w:rPr>
          <w:sz w:val="26"/>
          <w:rtl/>
        </w:rPr>
      </w:pPr>
      <w:r w:rsidRPr="000D406A">
        <w:rPr>
          <w:sz w:val="26"/>
          <w:rtl/>
        </w:rPr>
        <w:t>נקודות זיכוי לאשה</w:t>
      </w:r>
      <w:r w:rsidRPr="000D406A">
        <w:rPr>
          <w:rFonts w:hint="cs"/>
          <w:sz w:val="26"/>
          <w:rtl/>
        </w:rPr>
        <w:t xml:space="preserve">, </w:t>
      </w:r>
      <w:r w:rsidRPr="000D406A">
        <w:rPr>
          <w:sz w:val="26"/>
          <w:rtl/>
        </w:rPr>
        <w:t>לפי סעיף 66(ג)(4) לפקודה</w:t>
      </w:r>
      <w:r w:rsidRPr="000D406A">
        <w:rPr>
          <w:rFonts w:hint="cs"/>
          <w:sz w:val="26"/>
          <w:rtl/>
        </w:rPr>
        <w:t>,</w:t>
      </w:r>
      <w:r w:rsidR="00734BE0" w:rsidRPr="000D406A">
        <w:rPr>
          <w:sz w:val="26"/>
          <w:rtl/>
        </w:rPr>
        <w:t xml:space="preserve"> ולהורה במשפחה חד הורית שכלכלת </w:t>
      </w:r>
      <w:r w:rsidRPr="000D406A">
        <w:rPr>
          <w:sz w:val="26"/>
          <w:rtl/>
        </w:rPr>
        <w:t>הילדים עליו</w:t>
      </w:r>
      <w:r w:rsidRPr="000D406A">
        <w:rPr>
          <w:rFonts w:hint="cs"/>
          <w:sz w:val="26"/>
          <w:rtl/>
        </w:rPr>
        <w:t xml:space="preserve">, </w:t>
      </w:r>
      <w:r w:rsidRPr="000D406A">
        <w:rPr>
          <w:sz w:val="26"/>
          <w:rtl/>
        </w:rPr>
        <w:t>לפי סעיף 40(ב)(1) לפקודה</w:t>
      </w:r>
      <w:r w:rsidR="00734BE0" w:rsidRPr="000D406A">
        <w:rPr>
          <w:sz w:val="26"/>
          <w:rtl/>
        </w:rPr>
        <w:t>, בעד כל אחד מילדיהם שטרם מלאו להם שש שנים בשנת המס:</w:t>
      </w:r>
    </w:p>
    <w:tbl>
      <w:tblPr>
        <w:tblStyle w:val="af6"/>
        <w:bidiVisual/>
        <w:tblW w:w="0" w:type="auto"/>
        <w:tblInd w:w="772" w:type="dxa"/>
        <w:tblLook w:val="04A0" w:firstRow="1" w:lastRow="0" w:firstColumn="1" w:lastColumn="0" w:noHBand="0" w:noVBand="1"/>
      </w:tblPr>
      <w:tblGrid>
        <w:gridCol w:w="973"/>
        <w:gridCol w:w="3615"/>
        <w:gridCol w:w="3615"/>
      </w:tblGrid>
      <w:tr w:rsidR="00734BE0" w:rsidRPr="000D406A" w:rsidTr="0095755F">
        <w:tc>
          <w:tcPr>
            <w:tcW w:w="281" w:type="dxa"/>
            <w:tcBorders>
              <w:top w:val="single" w:sz="4" w:space="0" w:color="auto"/>
              <w:bottom w:val="single" w:sz="4" w:space="0" w:color="auto"/>
              <w:right w:val="single" w:sz="4" w:space="0" w:color="auto"/>
            </w:tcBorders>
          </w:tcPr>
          <w:p w:rsidR="00734BE0" w:rsidRPr="000D406A" w:rsidRDefault="00734BE0" w:rsidP="000D406A">
            <w:pPr>
              <w:spacing w:line="360" w:lineRule="auto"/>
              <w:rPr>
                <w:sz w:val="26"/>
                <w:szCs w:val="26"/>
                <w:rtl/>
              </w:rPr>
            </w:pPr>
            <w:r w:rsidRPr="000D406A">
              <w:rPr>
                <w:rFonts w:hint="cs"/>
                <w:sz w:val="26"/>
                <w:szCs w:val="26"/>
                <w:rtl/>
              </w:rPr>
              <w:t>גיל ב</w:t>
            </w:r>
            <w:r w:rsidRPr="000D406A">
              <w:rPr>
                <w:sz w:val="26"/>
                <w:szCs w:val="26"/>
                <w:rtl/>
              </w:rPr>
              <w:t>שנת המס</w:t>
            </w:r>
          </w:p>
        </w:tc>
        <w:tc>
          <w:tcPr>
            <w:tcW w:w="3615" w:type="dxa"/>
            <w:tcBorders>
              <w:top w:val="single" w:sz="4" w:space="0" w:color="auto"/>
              <w:left w:val="single" w:sz="4" w:space="0" w:color="auto"/>
              <w:bottom w:val="single" w:sz="4" w:space="0" w:color="auto"/>
              <w:right w:val="single" w:sz="4" w:space="0" w:color="auto"/>
            </w:tcBorders>
          </w:tcPr>
          <w:p w:rsidR="00734BE0" w:rsidRPr="000D406A" w:rsidRDefault="00734BE0" w:rsidP="000D406A">
            <w:pPr>
              <w:spacing w:line="360" w:lineRule="auto"/>
              <w:ind w:firstLine="0"/>
              <w:rPr>
                <w:b/>
                <w:bCs/>
                <w:sz w:val="26"/>
                <w:szCs w:val="26"/>
                <w:rtl/>
              </w:rPr>
            </w:pPr>
            <w:r w:rsidRPr="000D406A">
              <w:rPr>
                <w:b/>
                <w:bCs/>
                <w:sz w:val="26"/>
                <w:szCs w:val="26"/>
                <w:rtl/>
              </w:rPr>
              <w:t xml:space="preserve">נקודות זיכוי </w:t>
            </w:r>
            <w:r w:rsidRPr="000D406A">
              <w:rPr>
                <w:rFonts w:hint="cs"/>
                <w:b/>
                <w:bCs/>
                <w:sz w:val="26"/>
                <w:szCs w:val="26"/>
                <w:rtl/>
              </w:rPr>
              <w:t xml:space="preserve">לשנת 2019 ואילך </w:t>
            </w:r>
            <w:r w:rsidRPr="000D406A">
              <w:rPr>
                <w:b/>
                <w:bCs/>
                <w:sz w:val="26"/>
                <w:szCs w:val="26"/>
                <w:rtl/>
              </w:rPr>
              <w:t>טרם קבלת התיקון המוצע</w:t>
            </w:r>
          </w:p>
        </w:tc>
        <w:tc>
          <w:tcPr>
            <w:tcW w:w="3615" w:type="dxa"/>
            <w:tcBorders>
              <w:top w:val="single" w:sz="4" w:space="0" w:color="auto"/>
              <w:left w:val="single" w:sz="4" w:space="0" w:color="auto"/>
              <w:bottom w:val="single" w:sz="4" w:space="0" w:color="auto"/>
              <w:right w:val="single" w:sz="4" w:space="0" w:color="auto"/>
            </w:tcBorders>
          </w:tcPr>
          <w:p w:rsidR="00734BE0" w:rsidRPr="000D406A" w:rsidRDefault="00734BE0" w:rsidP="000D406A">
            <w:pPr>
              <w:spacing w:line="360" w:lineRule="auto"/>
              <w:rPr>
                <w:b/>
                <w:bCs/>
                <w:sz w:val="26"/>
                <w:szCs w:val="26"/>
                <w:rtl/>
              </w:rPr>
            </w:pPr>
            <w:r w:rsidRPr="000D406A">
              <w:rPr>
                <w:b/>
                <w:bCs/>
                <w:sz w:val="26"/>
                <w:szCs w:val="26"/>
                <w:rtl/>
              </w:rPr>
              <w:t xml:space="preserve">נקודות זיכוי על פי התיקון המוצע </w:t>
            </w:r>
          </w:p>
        </w:tc>
      </w:tr>
      <w:tr w:rsidR="00734BE0" w:rsidRPr="000D406A" w:rsidTr="0095755F">
        <w:tc>
          <w:tcPr>
            <w:tcW w:w="281" w:type="dxa"/>
            <w:tcBorders>
              <w:top w:val="single" w:sz="4" w:space="0" w:color="auto"/>
            </w:tcBorders>
            <w:vAlign w:val="center"/>
          </w:tcPr>
          <w:p w:rsidR="00734BE0" w:rsidRPr="000D406A" w:rsidRDefault="00734BE0" w:rsidP="000D406A">
            <w:pPr>
              <w:spacing w:line="360" w:lineRule="auto"/>
              <w:rPr>
                <w:sz w:val="26"/>
                <w:szCs w:val="26"/>
                <w:rtl/>
              </w:rPr>
            </w:pPr>
            <w:r w:rsidRPr="000D406A">
              <w:rPr>
                <w:sz w:val="26"/>
                <w:szCs w:val="26"/>
                <w:rtl/>
              </w:rPr>
              <w:t>לידה</w:t>
            </w:r>
          </w:p>
        </w:tc>
        <w:tc>
          <w:tcPr>
            <w:tcW w:w="3615" w:type="dxa"/>
            <w:tcBorders>
              <w:top w:val="single" w:sz="4" w:space="0" w:color="auto"/>
            </w:tcBorders>
          </w:tcPr>
          <w:p w:rsidR="00734BE0" w:rsidRPr="000D406A" w:rsidRDefault="00584A77" w:rsidP="000D406A">
            <w:pPr>
              <w:spacing w:line="360" w:lineRule="auto"/>
              <w:rPr>
                <w:i/>
                <w:sz w:val="26"/>
                <w:szCs w:val="26"/>
              </w:rPr>
            </w:pPr>
            <m:oMathPara>
              <m:oMath>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c>
          <w:tcPr>
            <w:tcW w:w="3615" w:type="dxa"/>
            <w:tcBorders>
              <w:top w:val="single" w:sz="4" w:space="0" w:color="auto"/>
            </w:tcBorders>
          </w:tcPr>
          <w:p w:rsidR="00734BE0" w:rsidRPr="000D406A" w:rsidRDefault="00734BE0" w:rsidP="000D406A">
            <w:pPr>
              <w:spacing w:line="360" w:lineRule="auto"/>
              <w:rPr>
                <w:sz w:val="26"/>
                <w:szCs w:val="26"/>
              </w:rPr>
            </w:pPr>
            <m:oMathPara>
              <m:oMath>
                <m:r>
                  <m:rPr>
                    <m:sty m:val="p"/>
                  </m:rPr>
                  <w:rPr>
                    <w:rFonts w:ascii="Cambria Math" w:hAnsi="Cambria Math"/>
                    <w:sz w:val="26"/>
                    <w:szCs w:val="26"/>
                  </w:rPr>
                  <m:t>1</m:t>
                </m:r>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r>
      <w:tr w:rsidR="00734BE0" w:rsidRPr="000D406A" w:rsidTr="0095755F">
        <w:tc>
          <w:tcPr>
            <w:tcW w:w="281" w:type="dxa"/>
            <w:vAlign w:val="center"/>
          </w:tcPr>
          <w:p w:rsidR="00734BE0" w:rsidRPr="000D406A" w:rsidRDefault="00734BE0" w:rsidP="000D406A">
            <w:pPr>
              <w:spacing w:line="360" w:lineRule="auto"/>
              <w:rPr>
                <w:sz w:val="26"/>
                <w:szCs w:val="26"/>
                <w:rtl/>
              </w:rPr>
            </w:pPr>
            <w:r w:rsidRPr="000D406A">
              <w:rPr>
                <w:sz w:val="26"/>
                <w:szCs w:val="26"/>
                <w:rtl/>
              </w:rPr>
              <w:t>שנה</w:t>
            </w:r>
            <w:r w:rsidRPr="000D406A">
              <w:rPr>
                <w:rFonts w:hint="cs"/>
                <w:sz w:val="26"/>
                <w:szCs w:val="26"/>
                <w:rtl/>
              </w:rPr>
              <w:t xml:space="preserve"> עד</w:t>
            </w:r>
            <w:r w:rsidRPr="000D406A">
              <w:rPr>
                <w:sz w:val="26"/>
                <w:szCs w:val="26"/>
                <w:rtl/>
              </w:rPr>
              <w:t xml:space="preserve"> חמש</w:t>
            </w:r>
          </w:p>
        </w:tc>
        <w:tc>
          <w:tcPr>
            <w:tcW w:w="3615" w:type="dxa"/>
          </w:tcPr>
          <w:p w:rsidR="00193EE1" w:rsidRPr="000D406A" w:rsidRDefault="00734BE0" w:rsidP="000D406A">
            <w:pPr>
              <w:pStyle w:val="TableText"/>
              <w:rPr>
                <w:sz w:val="26"/>
                <w:rtl/>
              </w:rPr>
            </w:pPr>
            <m:oMathPara>
              <m:oMath>
                <m:r>
                  <m:rPr>
                    <m:sty m:val="p"/>
                  </m:rPr>
                  <w:rPr>
                    <w:rFonts w:ascii="Cambria Math" w:hAnsi="Cambria Math"/>
                    <w:sz w:val="26"/>
                  </w:rPr>
                  <m:t>2</m:t>
                </m:r>
              </m:oMath>
            </m:oMathPara>
          </w:p>
        </w:tc>
        <w:tc>
          <w:tcPr>
            <w:tcW w:w="3615" w:type="dxa"/>
          </w:tcPr>
          <w:p w:rsidR="00734BE0" w:rsidRPr="000D406A" w:rsidRDefault="00734BE0" w:rsidP="000D406A">
            <w:pPr>
              <w:spacing w:line="360" w:lineRule="auto"/>
              <w:jc w:val="center"/>
              <w:rPr>
                <w:sz w:val="26"/>
                <w:szCs w:val="26"/>
                <w:rtl/>
              </w:rPr>
            </w:pPr>
            <m:oMathPara>
              <m:oMath>
                <m:r>
                  <m:rPr>
                    <m:sty m:val="p"/>
                  </m:rPr>
                  <w:rPr>
                    <w:rFonts w:ascii="Cambria Math" w:hAnsi="Cambria Math"/>
                    <w:sz w:val="26"/>
                    <w:szCs w:val="26"/>
                  </w:rPr>
                  <m:t>2</m:t>
                </m:r>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r>
    </w:tbl>
    <w:p w:rsidR="00734BE0" w:rsidRPr="000D406A" w:rsidRDefault="00734BE0" w:rsidP="000D406A">
      <w:pPr>
        <w:pStyle w:val="Hesber"/>
        <w:ind w:left="360" w:firstLine="0"/>
        <w:rPr>
          <w:sz w:val="26"/>
          <w:rtl/>
        </w:rPr>
      </w:pPr>
    </w:p>
    <w:p w:rsidR="00734BE0" w:rsidRPr="000D406A" w:rsidRDefault="0095755F" w:rsidP="000D406A">
      <w:pPr>
        <w:pStyle w:val="Hesber"/>
        <w:ind w:left="360" w:firstLine="0"/>
        <w:rPr>
          <w:sz w:val="26"/>
          <w:rtl/>
        </w:rPr>
      </w:pPr>
      <w:r w:rsidRPr="000D406A">
        <w:rPr>
          <w:rFonts w:hint="cs"/>
          <w:sz w:val="26"/>
          <w:rtl/>
        </w:rPr>
        <w:t xml:space="preserve">נקודות זיכוי לגבר, לפי </w:t>
      </w:r>
      <w:r w:rsidR="00734BE0" w:rsidRPr="000D406A">
        <w:rPr>
          <w:rFonts w:hint="cs"/>
          <w:sz w:val="26"/>
          <w:rtl/>
        </w:rPr>
        <w:t>סעיף</w:t>
      </w:r>
      <w:r w:rsidR="00734BE0" w:rsidRPr="000D406A">
        <w:rPr>
          <w:sz w:val="26"/>
          <w:rtl/>
        </w:rPr>
        <w:t xml:space="preserve"> 66(</w:t>
      </w:r>
      <w:r w:rsidR="00734BE0" w:rsidRPr="000D406A">
        <w:rPr>
          <w:rFonts w:hint="cs"/>
          <w:sz w:val="26"/>
          <w:rtl/>
        </w:rPr>
        <w:t>ג</w:t>
      </w:r>
      <w:r w:rsidR="00734BE0" w:rsidRPr="000D406A">
        <w:rPr>
          <w:sz w:val="26"/>
          <w:rtl/>
        </w:rPr>
        <w:t xml:space="preserve">)(5) </w:t>
      </w:r>
      <w:r w:rsidR="00734BE0" w:rsidRPr="000D406A">
        <w:rPr>
          <w:rFonts w:hint="cs"/>
          <w:sz w:val="26"/>
          <w:rtl/>
        </w:rPr>
        <w:t>לפקודה</w:t>
      </w:r>
      <w:r w:rsidRPr="000D406A">
        <w:rPr>
          <w:rFonts w:hint="cs"/>
          <w:sz w:val="26"/>
          <w:rtl/>
        </w:rPr>
        <w:t>,</w:t>
      </w:r>
      <w:r w:rsidR="00734BE0" w:rsidRPr="000D406A">
        <w:rPr>
          <w:rFonts w:hint="cs"/>
          <w:sz w:val="26"/>
          <w:rtl/>
        </w:rPr>
        <w:t xml:space="preserve"> ולהורה במשפחה חד הורית שכלכלת הילדים אינה עליו</w:t>
      </w:r>
      <w:r w:rsidRPr="000D406A">
        <w:rPr>
          <w:rFonts w:hint="cs"/>
          <w:sz w:val="26"/>
          <w:rtl/>
        </w:rPr>
        <w:t>, לפי סעיף (40(ב)(1א) לפקודה</w:t>
      </w:r>
      <w:r w:rsidR="00734BE0" w:rsidRPr="000D406A">
        <w:rPr>
          <w:rFonts w:hint="cs"/>
          <w:sz w:val="26"/>
          <w:rtl/>
        </w:rPr>
        <w:t>, בעד</w:t>
      </w:r>
      <w:r w:rsidR="00734BE0" w:rsidRPr="000D406A">
        <w:rPr>
          <w:sz w:val="26"/>
          <w:rtl/>
        </w:rPr>
        <w:t xml:space="preserve"> </w:t>
      </w:r>
      <w:r w:rsidR="00734BE0" w:rsidRPr="000D406A">
        <w:rPr>
          <w:rFonts w:hint="cs"/>
          <w:sz w:val="26"/>
          <w:rtl/>
        </w:rPr>
        <w:t>כל</w:t>
      </w:r>
      <w:r w:rsidR="00734BE0" w:rsidRPr="000D406A">
        <w:rPr>
          <w:sz w:val="26"/>
          <w:rtl/>
        </w:rPr>
        <w:t xml:space="preserve"> </w:t>
      </w:r>
      <w:r w:rsidR="00734BE0" w:rsidRPr="000D406A">
        <w:rPr>
          <w:rFonts w:hint="cs"/>
          <w:sz w:val="26"/>
          <w:rtl/>
        </w:rPr>
        <w:t>אחד</w:t>
      </w:r>
      <w:r w:rsidR="00734BE0" w:rsidRPr="000D406A">
        <w:rPr>
          <w:sz w:val="26"/>
          <w:rtl/>
        </w:rPr>
        <w:t xml:space="preserve"> </w:t>
      </w:r>
      <w:r w:rsidR="00734BE0" w:rsidRPr="000D406A">
        <w:rPr>
          <w:rFonts w:hint="cs"/>
          <w:sz w:val="26"/>
          <w:rtl/>
        </w:rPr>
        <w:t>מילדיהם שטרם מלאו להם שש שנים בשנת המס:</w:t>
      </w:r>
    </w:p>
    <w:p w:rsidR="00734BE0" w:rsidRPr="000D406A" w:rsidRDefault="00734BE0" w:rsidP="000D406A">
      <w:pPr>
        <w:pStyle w:val="Hesber"/>
        <w:ind w:left="360" w:firstLine="0"/>
        <w:rPr>
          <w:sz w:val="26"/>
          <w:rtl/>
        </w:rPr>
      </w:pPr>
    </w:p>
    <w:tbl>
      <w:tblPr>
        <w:tblStyle w:val="af6"/>
        <w:bidiVisual/>
        <w:tblW w:w="0" w:type="auto"/>
        <w:jc w:val="center"/>
        <w:tblLook w:val="04A0" w:firstRow="1" w:lastRow="0" w:firstColumn="1" w:lastColumn="0" w:noHBand="0" w:noVBand="1"/>
      </w:tblPr>
      <w:tblGrid>
        <w:gridCol w:w="1201"/>
        <w:gridCol w:w="3615"/>
        <w:gridCol w:w="3615"/>
      </w:tblGrid>
      <w:tr w:rsidR="00734BE0" w:rsidRPr="000D406A" w:rsidTr="006842FA">
        <w:trPr>
          <w:jc w:val="center"/>
        </w:trPr>
        <w:tc>
          <w:tcPr>
            <w:tcW w:w="1034" w:type="dxa"/>
            <w:tcBorders>
              <w:top w:val="single" w:sz="4" w:space="0" w:color="auto"/>
              <w:bottom w:val="single" w:sz="4" w:space="0" w:color="auto"/>
              <w:right w:val="single" w:sz="4" w:space="0" w:color="auto"/>
            </w:tcBorders>
          </w:tcPr>
          <w:p w:rsidR="00734BE0" w:rsidRPr="000D406A" w:rsidRDefault="00734BE0" w:rsidP="000D406A">
            <w:pPr>
              <w:spacing w:line="360" w:lineRule="auto"/>
              <w:jc w:val="left"/>
              <w:rPr>
                <w:sz w:val="26"/>
                <w:szCs w:val="26"/>
                <w:rtl/>
              </w:rPr>
            </w:pPr>
            <w:r w:rsidRPr="000D406A">
              <w:rPr>
                <w:rFonts w:hint="cs"/>
                <w:sz w:val="26"/>
                <w:szCs w:val="26"/>
                <w:rtl/>
              </w:rPr>
              <w:lastRenderedPageBreak/>
              <w:t>גיל ב</w:t>
            </w:r>
            <w:r w:rsidRPr="000D406A">
              <w:rPr>
                <w:sz w:val="26"/>
                <w:szCs w:val="26"/>
                <w:rtl/>
              </w:rPr>
              <w:t>שנת המס</w:t>
            </w:r>
          </w:p>
        </w:tc>
        <w:tc>
          <w:tcPr>
            <w:tcW w:w="3615" w:type="dxa"/>
            <w:tcBorders>
              <w:top w:val="single" w:sz="4" w:space="0" w:color="auto"/>
              <w:left w:val="single" w:sz="4" w:space="0" w:color="auto"/>
              <w:bottom w:val="single" w:sz="4" w:space="0" w:color="auto"/>
              <w:right w:val="single" w:sz="4" w:space="0" w:color="auto"/>
            </w:tcBorders>
          </w:tcPr>
          <w:p w:rsidR="00734BE0" w:rsidRPr="000D406A" w:rsidRDefault="00734BE0" w:rsidP="000D406A">
            <w:pPr>
              <w:spacing w:line="360" w:lineRule="auto"/>
              <w:ind w:firstLine="0"/>
              <w:jc w:val="left"/>
              <w:rPr>
                <w:b/>
                <w:bCs/>
                <w:sz w:val="26"/>
                <w:szCs w:val="26"/>
                <w:rtl/>
              </w:rPr>
            </w:pPr>
            <w:r w:rsidRPr="000D406A">
              <w:rPr>
                <w:b/>
                <w:bCs/>
                <w:sz w:val="26"/>
                <w:szCs w:val="26"/>
                <w:rtl/>
              </w:rPr>
              <w:t xml:space="preserve">נקודות זיכוי </w:t>
            </w:r>
            <w:r w:rsidRPr="000D406A">
              <w:rPr>
                <w:rFonts w:hint="cs"/>
                <w:b/>
                <w:bCs/>
                <w:sz w:val="26"/>
                <w:szCs w:val="26"/>
                <w:rtl/>
              </w:rPr>
              <w:t xml:space="preserve">לשנת 2019 ואילך </w:t>
            </w:r>
            <w:r w:rsidRPr="000D406A">
              <w:rPr>
                <w:b/>
                <w:bCs/>
                <w:sz w:val="26"/>
                <w:szCs w:val="26"/>
                <w:rtl/>
              </w:rPr>
              <w:t>טרם קבלת התיקון המוצע</w:t>
            </w:r>
          </w:p>
        </w:tc>
        <w:tc>
          <w:tcPr>
            <w:tcW w:w="3615" w:type="dxa"/>
            <w:tcBorders>
              <w:top w:val="single" w:sz="4" w:space="0" w:color="auto"/>
              <w:left w:val="single" w:sz="4" w:space="0" w:color="auto"/>
              <w:bottom w:val="single" w:sz="4" w:space="0" w:color="auto"/>
              <w:right w:val="single" w:sz="4" w:space="0" w:color="auto"/>
            </w:tcBorders>
          </w:tcPr>
          <w:p w:rsidR="00734BE0" w:rsidRPr="000D406A" w:rsidRDefault="00734BE0" w:rsidP="000D406A">
            <w:pPr>
              <w:spacing w:line="360" w:lineRule="auto"/>
              <w:jc w:val="left"/>
              <w:rPr>
                <w:b/>
                <w:bCs/>
                <w:sz w:val="26"/>
                <w:szCs w:val="26"/>
                <w:rtl/>
              </w:rPr>
            </w:pPr>
            <w:r w:rsidRPr="000D406A">
              <w:rPr>
                <w:b/>
                <w:bCs/>
                <w:sz w:val="26"/>
                <w:szCs w:val="26"/>
                <w:rtl/>
              </w:rPr>
              <w:t xml:space="preserve">נקודות זיכוי על פי התיקון המוצע </w:t>
            </w:r>
          </w:p>
        </w:tc>
      </w:tr>
      <w:tr w:rsidR="00734BE0" w:rsidRPr="000D406A" w:rsidTr="006842FA">
        <w:trPr>
          <w:jc w:val="center"/>
        </w:trPr>
        <w:tc>
          <w:tcPr>
            <w:tcW w:w="1034" w:type="dxa"/>
            <w:tcBorders>
              <w:top w:val="single" w:sz="4" w:space="0" w:color="auto"/>
            </w:tcBorders>
            <w:vAlign w:val="center"/>
          </w:tcPr>
          <w:p w:rsidR="00734BE0" w:rsidRPr="000D406A" w:rsidRDefault="00734BE0" w:rsidP="000D406A">
            <w:pPr>
              <w:spacing w:line="360" w:lineRule="auto"/>
              <w:jc w:val="left"/>
              <w:rPr>
                <w:sz w:val="26"/>
                <w:szCs w:val="26"/>
                <w:rtl/>
              </w:rPr>
            </w:pPr>
            <w:r w:rsidRPr="000D406A">
              <w:rPr>
                <w:sz w:val="26"/>
                <w:szCs w:val="26"/>
                <w:rtl/>
              </w:rPr>
              <w:t>לידה</w:t>
            </w:r>
          </w:p>
        </w:tc>
        <w:tc>
          <w:tcPr>
            <w:tcW w:w="3615" w:type="dxa"/>
            <w:tcBorders>
              <w:top w:val="single" w:sz="4" w:space="0" w:color="auto"/>
            </w:tcBorders>
          </w:tcPr>
          <w:p w:rsidR="00734BE0" w:rsidRPr="000D406A" w:rsidRDefault="00734BE0" w:rsidP="000D406A">
            <w:pPr>
              <w:spacing w:line="360" w:lineRule="auto"/>
              <w:jc w:val="left"/>
              <w:rPr>
                <w:sz w:val="26"/>
                <w:szCs w:val="26"/>
              </w:rPr>
            </w:pPr>
            <m:oMathPara>
              <m:oMath>
                <m:r>
                  <m:rPr>
                    <m:sty m:val="p"/>
                  </m:rPr>
                  <w:rPr>
                    <w:rFonts w:ascii="Cambria Math" w:hAnsi="Cambria Math"/>
                    <w:sz w:val="26"/>
                    <w:szCs w:val="26"/>
                  </w:rPr>
                  <m:t>1</m:t>
                </m:r>
              </m:oMath>
            </m:oMathPara>
          </w:p>
        </w:tc>
        <w:tc>
          <w:tcPr>
            <w:tcW w:w="3615" w:type="dxa"/>
            <w:tcBorders>
              <w:top w:val="single" w:sz="4" w:space="0" w:color="auto"/>
            </w:tcBorders>
          </w:tcPr>
          <w:p w:rsidR="00734BE0" w:rsidRPr="000D406A" w:rsidRDefault="00734BE0" w:rsidP="000D406A">
            <w:pPr>
              <w:spacing w:line="360" w:lineRule="auto"/>
              <w:jc w:val="left"/>
              <w:rPr>
                <w:sz w:val="26"/>
                <w:szCs w:val="26"/>
              </w:rPr>
            </w:pPr>
            <m:oMathPara>
              <m:oMath>
                <m:r>
                  <m:rPr>
                    <m:sty m:val="p"/>
                  </m:rPr>
                  <w:rPr>
                    <w:rFonts w:ascii="Cambria Math" w:hAnsi="Cambria Math"/>
                    <w:sz w:val="26"/>
                    <w:szCs w:val="26"/>
                  </w:rPr>
                  <m:t>1</m:t>
                </m:r>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r>
      <w:tr w:rsidR="00734BE0" w:rsidRPr="000D406A" w:rsidTr="006842FA">
        <w:trPr>
          <w:jc w:val="center"/>
        </w:trPr>
        <w:tc>
          <w:tcPr>
            <w:tcW w:w="1034" w:type="dxa"/>
            <w:vAlign w:val="center"/>
          </w:tcPr>
          <w:p w:rsidR="00734BE0" w:rsidRPr="000D406A" w:rsidRDefault="00734BE0" w:rsidP="000D406A">
            <w:pPr>
              <w:spacing w:line="360" w:lineRule="auto"/>
              <w:jc w:val="left"/>
              <w:rPr>
                <w:sz w:val="26"/>
                <w:szCs w:val="26"/>
                <w:rtl/>
              </w:rPr>
            </w:pPr>
            <w:r w:rsidRPr="000D406A">
              <w:rPr>
                <w:sz w:val="26"/>
                <w:szCs w:val="26"/>
                <w:rtl/>
              </w:rPr>
              <w:t>שנה</w:t>
            </w:r>
          </w:p>
        </w:tc>
        <w:tc>
          <w:tcPr>
            <w:tcW w:w="3615" w:type="dxa"/>
          </w:tcPr>
          <w:p w:rsidR="00734BE0" w:rsidRPr="000D406A" w:rsidRDefault="00734BE0" w:rsidP="000D406A">
            <w:pPr>
              <w:spacing w:line="360" w:lineRule="auto"/>
              <w:jc w:val="left"/>
              <w:rPr>
                <w:sz w:val="26"/>
                <w:szCs w:val="26"/>
                <w:rtl/>
              </w:rPr>
            </w:pPr>
            <m:oMathPara>
              <m:oMath>
                <m:r>
                  <m:rPr>
                    <m:sty m:val="p"/>
                  </m:rPr>
                  <w:rPr>
                    <w:rFonts w:ascii="Cambria Math" w:hAnsi="Cambria Math"/>
                    <w:sz w:val="26"/>
                    <w:szCs w:val="26"/>
                  </w:rPr>
                  <m:t>2</m:t>
                </m:r>
              </m:oMath>
            </m:oMathPara>
          </w:p>
        </w:tc>
        <w:tc>
          <w:tcPr>
            <w:tcW w:w="3615" w:type="dxa"/>
          </w:tcPr>
          <w:p w:rsidR="00734BE0" w:rsidRPr="000D406A" w:rsidRDefault="00734BE0" w:rsidP="000D406A">
            <w:pPr>
              <w:spacing w:line="360" w:lineRule="auto"/>
              <w:jc w:val="left"/>
              <w:rPr>
                <w:sz w:val="26"/>
                <w:szCs w:val="26"/>
                <w:rtl/>
              </w:rPr>
            </w:pPr>
            <m:oMathPara>
              <m:oMath>
                <m:r>
                  <m:rPr>
                    <m:sty m:val="p"/>
                  </m:rPr>
                  <w:rPr>
                    <w:rFonts w:ascii="Cambria Math" w:hAnsi="Cambria Math"/>
                    <w:sz w:val="26"/>
                    <w:szCs w:val="26"/>
                  </w:rPr>
                  <m:t>2</m:t>
                </m:r>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r>
      <w:tr w:rsidR="00734BE0" w:rsidRPr="000D406A" w:rsidTr="006842FA">
        <w:trPr>
          <w:jc w:val="center"/>
        </w:trPr>
        <w:tc>
          <w:tcPr>
            <w:tcW w:w="1034" w:type="dxa"/>
            <w:vAlign w:val="center"/>
          </w:tcPr>
          <w:p w:rsidR="00734BE0" w:rsidRPr="000D406A" w:rsidRDefault="00734BE0" w:rsidP="000D406A">
            <w:pPr>
              <w:spacing w:line="360" w:lineRule="auto"/>
              <w:jc w:val="left"/>
              <w:rPr>
                <w:sz w:val="26"/>
                <w:szCs w:val="26"/>
                <w:rtl/>
              </w:rPr>
            </w:pPr>
            <w:r w:rsidRPr="000D406A">
              <w:rPr>
                <w:sz w:val="26"/>
                <w:szCs w:val="26"/>
                <w:rtl/>
              </w:rPr>
              <w:t>שנתיים</w:t>
            </w:r>
          </w:p>
        </w:tc>
        <w:tc>
          <w:tcPr>
            <w:tcW w:w="3615" w:type="dxa"/>
          </w:tcPr>
          <w:p w:rsidR="00734BE0" w:rsidRPr="000D406A" w:rsidRDefault="00734BE0" w:rsidP="000D406A">
            <w:pPr>
              <w:spacing w:line="360" w:lineRule="auto"/>
              <w:jc w:val="left"/>
              <w:rPr>
                <w:sz w:val="26"/>
                <w:szCs w:val="26"/>
                <w:rtl/>
              </w:rPr>
            </w:pPr>
            <m:oMathPara>
              <m:oMath>
                <m:r>
                  <m:rPr>
                    <m:sty m:val="p"/>
                  </m:rPr>
                  <w:rPr>
                    <w:rFonts w:ascii="Cambria Math" w:hAnsi="Cambria Math"/>
                    <w:sz w:val="26"/>
                    <w:szCs w:val="26"/>
                  </w:rPr>
                  <m:t>2</m:t>
                </m:r>
              </m:oMath>
            </m:oMathPara>
          </w:p>
        </w:tc>
        <w:tc>
          <w:tcPr>
            <w:tcW w:w="3615" w:type="dxa"/>
          </w:tcPr>
          <w:p w:rsidR="00734BE0" w:rsidRPr="000D406A" w:rsidRDefault="00734BE0" w:rsidP="000D406A">
            <w:pPr>
              <w:spacing w:line="360" w:lineRule="auto"/>
              <w:jc w:val="left"/>
              <w:rPr>
                <w:sz w:val="26"/>
                <w:szCs w:val="26"/>
                <w:rtl/>
              </w:rPr>
            </w:pPr>
            <m:oMathPara>
              <m:oMath>
                <m:r>
                  <m:rPr>
                    <m:sty m:val="p"/>
                  </m:rPr>
                  <w:rPr>
                    <w:rFonts w:ascii="Cambria Math" w:hAnsi="Cambria Math"/>
                    <w:sz w:val="26"/>
                    <w:szCs w:val="26"/>
                  </w:rPr>
                  <m:t>2</m:t>
                </m:r>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r>
      <w:tr w:rsidR="00734BE0" w:rsidRPr="000D406A" w:rsidTr="006842FA">
        <w:trPr>
          <w:jc w:val="center"/>
        </w:trPr>
        <w:tc>
          <w:tcPr>
            <w:tcW w:w="1034" w:type="dxa"/>
            <w:vAlign w:val="center"/>
          </w:tcPr>
          <w:p w:rsidR="00734BE0" w:rsidRPr="000D406A" w:rsidRDefault="00734BE0" w:rsidP="000D406A">
            <w:pPr>
              <w:spacing w:line="360" w:lineRule="auto"/>
              <w:jc w:val="left"/>
              <w:rPr>
                <w:sz w:val="26"/>
                <w:szCs w:val="26"/>
                <w:rtl/>
              </w:rPr>
            </w:pPr>
            <w:r w:rsidRPr="000D406A">
              <w:rPr>
                <w:sz w:val="26"/>
                <w:szCs w:val="26"/>
                <w:rtl/>
              </w:rPr>
              <w:t>שלוש</w:t>
            </w:r>
          </w:p>
        </w:tc>
        <w:tc>
          <w:tcPr>
            <w:tcW w:w="3615" w:type="dxa"/>
            <w:vAlign w:val="center"/>
          </w:tcPr>
          <w:p w:rsidR="00734BE0" w:rsidRPr="000D406A" w:rsidRDefault="00734BE0" w:rsidP="000D406A">
            <w:pPr>
              <w:spacing w:line="360" w:lineRule="auto"/>
              <w:jc w:val="left"/>
              <w:rPr>
                <w:sz w:val="26"/>
                <w:szCs w:val="26"/>
                <w:rtl/>
              </w:rPr>
            </w:pPr>
            <m:oMathPara>
              <m:oMath>
                <m:r>
                  <m:rPr>
                    <m:sty m:val="p"/>
                  </m:rPr>
                  <w:rPr>
                    <w:rFonts w:ascii="Cambria Math" w:hAnsi="Cambria Math"/>
                    <w:sz w:val="26"/>
                    <w:szCs w:val="26"/>
                  </w:rPr>
                  <m:t>1</m:t>
                </m:r>
              </m:oMath>
            </m:oMathPara>
          </w:p>
        </w:tc>
        <w:tc>
          <w:tcPr>
            <w:tcW w:w="3615" w:type="dxa"/>
          </w:tcPr>
          <w:p w:rsidR="00734BE0" w:rsidRPr="000D406A" w:rsidRDefault="00734BE0" w:rsidP="000D406A">
            <w:pPr>
              <w:spacing w:line="360" w:lineRule="auto"/>
              <w:jc w:val="left"/>
              <w:rPr>
                <w:sz w:val="26"/>
                <w:szCs w:val="26"/>
              </w:rPr>
            </w:pPr>
            <m:oMathPara>
              <m:oMath>
                <m:r>
                  <m:rPr>
                    <m:sty m:val="p"/>
                  </m:rPr>
                  <w:rPr>
                    <w:rFonts w:ascii="Cambria Math" w:hAnsi="Cambria Math"/>
                    <w:sz w:val="26"/>
                    <w:szCs w:val="26"/>
                  </w:rPr>
                  <m:t>2</m:t>
                </m:r>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r>
      <w:tr w:rsidR="00734BE0" w:rsidRPr="000D406A" w:rsidTr="006842FA">
        <w:trPr>
          <w:jc w:val="center"/>
        </w:trPr>
        <w:tc>
          <w:tcPr>
            <w:tcW w:w="1034" w:type="dxa"/>
            <w:vAlign w:val="center"/>
          </w:tcPr>
          <w:p w:rsidR="00734BE0" w:rsidRPr="000D406A" w:rsidRDefault="00734BE0" w:rsidP="000D406A">
            <w:pPr>
              <w:spacing w:line="360" w:lineRule="auto"/>
              <w:jc w:val="left"/>
              <w:rPr>
                <w:sz w:val="26"/>
                <w:szCs w:val="26"/>
                <w:rtl/>
              </w:rPr>
            </w:pPr>
            <w:r w:rsidRPr="000D406A">
              <w:rPr>
                <w:sz w:val="26"/>
                <w:szCs w:val="26"/>
                <w:rtl/>
              </w:rPr>
              <w:t>ארבע</w:t>
            </w:r>
          </w:p>
        </w:tc>
        <w:tc>
          <w:tcPr>
            <w:tcW w:w="3615" w:type="dxa"/>
            <w:vAlign w:val="center"/>
          </w:tcPr>
          <w:p w:rsidR="00734BE0" w:rsidRPr="000D406A" w:rsidRDefault="00734BE0" w:rsidP="000D406A">
            <w:pPr>
              <w:spacing w:line="360" w:lineRule="auto"/>
              <w:jc w:val="left"/>
              <w:rPr>
                <w:sz w:val="26"/>
                <w:szCs w:val="26"/>
                <w:rtl/>
              </w:rPr>
            </w:pPr>
            <w:r w:rsidRPr="000D406A">
              <w:rPr>
                <w:rFonts w:hint="cs"/>
                <w:sz w:val="26"/>
                <w:szCs w:val="26"/>
                <w:rtl/>
              </w:rPr>
              <w:t>---</w:t>
            </w:r>
          </w:p>
        </w:tc>
        <w:tc>
          <w:tcPr>
            <w:tcW w:w="3615" w:type="dxa"/>
          </w:tcPr>
          <w:p w:rsidR="00734BE0" w:rsidRPr="000D406A" w:rsidRDefault="00734BE0" w:rsidP="000D406A">
            <w:pPr>
              <w:spacing w:line="360" w:lineRule="auto"/>
              <w:jc w:val="left"/>
              <w:rPr>
                <w:sz w:val="26"/>
                <w:szCs w:val="26"/>
              </w:rPr>
            </w:pPr>
            <m:oMathPara>
              <m:oMath>
                <m:r>
                  <m:rPr>
                    <m:sty m:val="p"/>
                  </m:rPr>
                  <w:rPr>
                    <w:rFonts w:ascii="Cambria Math" w:hAnsi="Cambria Math"/>
                    <w:sz w:val="26"/>
                    <w:szCs w:val="26"/>
                  </w:rPr>
                  <m:t>2</m:t>
                </m:r>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r>
      <w:tr w:rsidR="00734BE0" w:rsidRPr="000D406A" w:rsidTr="006842FA">
        <w:trPr>
          <w:jc w:val="center"/>
        </w:trPr>
        <w:tc>
          <w:tcPr>
            <w:tcW w:w="1034" w:type="dxa"/>
            <w:vAlign w:val="center"/>
          </w:tcPr>
          <w:p w:rsidR="00734BE0" w:rsidRPr="000D406A" w:rsidDel="00013250" w:rsidRDefault="00734BE0" w:rsidP="000D406A">
            <w:pPr>
              <w:spacing w:line="360" w:lineRule="auto"/>
              <w:jc w:val="left"/>
              <w:rPr>
                <w:sz w:val="26"/>
                <w:szCs w:val="26"/>
                <w:rtl/>
              </w:rPr>
            </w:pPr>
            <w:r w:rsidRPr="000D406A">
              <w:rPr>
                <w:sz w:val="26"/>
                <w:szCs w:val="26"/>
                <w:rtl/>
              </w:rPr>
              <w:t>חמש</w:t>
            </w:r>
          </w:p>
        </w:tc>
        <w:tc>
          <w:tcPr>
            <w:tcW w:w="3615" w:type="dxa"/>
            <w:vAlign w:val="center"/>
          </w:tcPr>
          <w:p w:rsidR="00734BE0" w:rsidRPr="000D406A" w:rsidRDefault="00734BE0" w:rsidP="000D406A">
            <w:pPr>
              <w:spacing w:line="360" w:lineRule="auto"/>
              <w:jc w:val="left"/>
              <w:rPr>
                <w:sz w:val="26"/>
                <w:szCs w:val="26"/>
                <w:rtl/>
              </w:rPr>
            </w:pPr>
            <w:r w:rsidRPr="000D406A">
              <w:rPr>
                <w:rFonts w:hint="cs"/>
                <w:sz w:val="26"/>
                <w:szCs w:val="26"/>
                <w:rtl/>
              </w:rPr>
              <w:t>---</w:t>
            </w:r>
          </w:p>
        </w:tc>
        <w:tc>
          <w:tcPr>
            <w:tcW w:w="3615" w:type="dxa"/>
          </w:tcPr>
          <w:p w:rsidR="00734BE0" w:rsidRPr="000D406A" w:rsidRDefault="00734BE0" w:rsidP="000D406A">
            <w:pPr>
              <w:spacing w:line="360" w:lineRule="auto"/>
              <w:jc w:val="left"/>
              <w:rPr>
                <w:sz w:val="26"/>
                <w:szCs w:val="26"/>
              </w:rPr>
            </w:pPr>
            <m:oMathPara>
              <m:oMath>
                <m:r>
                  <m:rPr>
                    <m:sty m:val="p"/>
                  </m:rPr>
                  <w:rPr>
                    <w:rFonts w:ascii="Cambria Math" w:hAnsi="Cambria Math"/>
                    <w:sz w:val="26"/>
                    <w:szCs w:val="26"/>
                  </w:rPr>
                  <m:t>2</m:t>
                </m:r>
                <m:f>
                  <m:fPr>
                    <m:type m:val="skw"/>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m:oMathPara>
          </w:p>
        </w:tc>
      </w:tr>
    </w:tbl>
    <w:p w:rsidR="0073180F" w:rsidRPr="000D406A" w:rsidRDefault="0073180F" w:rsidP="000D406A">
      <w:pPr>
        <w:pStyle w:val="Hesber"/>
        <w:ind w:firstLine="0"/>
        <w:rPr>
          <w:sz w:val="26"/>
          <w:rtl/>
        </w:rPr>
      </w:pPr>
    </w:p>
    <w:p w:rsidR="00984A4F" w:rsidRPr="000D406A" w:rsidRDefault="00984A4F" w:rsidP="000D406A">
      <w:pPr>
        <w:pStyle w:val="Hesber"/>
        <w:ind w:left="360" w:firstLine="0"/>
        <w:rPr>
          <w:b/>
          <w:bCs/>
          <w:sz w:val="26"/>
          <w:rtl/>
        </w:rPr>
      </w:pPr>
      <w:r w:rsidRPr="000D406A">
        <w:rPr>
          <w:rFonts w:hint="cs"/>
          <w:b/>
          <w:bCs/>
          <w:sz w:val="26"/>
          <w:rtl/>
        </w:rPr>
        <w:t>לסעיף 2</w:t>
      </w:r>
    </w:p>
    <w:p w:rsidR="00193EE1" w:rsidRPr="000D406A" w:rsidRDefault="00193EE1" w:rsidP="000D406A">
      <w:pPr>
        <w:pStyle w:val="Hesber"/>
        <w:ind w:left="360" w:firstLine="0"/>
        <w:rPr>
          <w:b/>
          <w:bCs/>
          <w:sz w:val="26"/>
          <w:rtl/>
        </w:rPr>
      </w:pPr>
    </w:p>
    <w:p w:rsidR="00984A4F" w:rsidRPr="000D406A" w:rsidRDefault="0095755F" w:rsidP="000D406A">
      <w:pPr>
        <w:pStyle w:val="Hesber"/>
        <w:ind w:left="360" w:firstLine="0"/>
        <w:rPr>
          <w:sz w:val="26"/>
          <w:rtl/>
        </w:rPr>
      </w:pPr>
      <w:r w:rsidRPr="000D406A">
        <w:rPr>
          <w:rFonts w:hint="cs"/>
          <w:sz w:val="26"/>
          <w:rtl/>
        </w:rPr>
        <w:t xml:space="preserve">לפי </w:t>
      </w:r>
      <w:r w:rsidR="008D6478" w:rsidRPr="000D406A">
        <w:rPr>
          <w:rFonts w:hint="cs"/>
          <w:sz w:val="26"/>
          <w:rtl/>
        </w:rPr>
        <w:t>סעיפים 40ג ו-40ד לפקודת מס הכנסה,</w:t>
      </w:r>
      <w:r w:rsidR="006C15BA" w:rsidRPr="000D406A">
        <w:rPr>
          <w:rFonts w:hint="cs"/>
          <w:sz w:val="26"/>
          <w:rtl/>
        </w:rPr>
        <w:t xml:space="preserve"> בחישוב המס של יחיד תושב ישראל שלמד תואר אקדמי או לימודי מקצוע</w:t>
      </w:r>
      <w:r w:rsidR="00193EE1" w:rsidRPr="000D406A">
        <w:rPr>
          <w:rFonts w:hint="cs"/>
          <w:sz w:val="26"/>
          <w:rtl/>
        </w:rPr>
        <w:t>,</w:t>
      </w:r>
      <w:r w:rsidR="006C15BA" w:rsidRPr="000D406A">
        <w:rPr>
          <w:rFonts w:hint="cs"/>
          <w:sz w:val="26"/>
          <w:rtl/>
        </w:rPr>
        <w:t xml:space="preserve"> יובא בחשבון נקודת זיכוי במספר שנות מס כמספר שנות לימודי התואר או המקצוע. בהוראת שעה ש</w:t>
      </w:r>
      <w:r w:rsidR="00570930" w:rsidRPr="000D406A">
        <w:rPr>
          <w:rFonts w:hint="cs"/>
          <w:sz w:val="26"/>
          <w:rtl/>
        </w:rPr>
        <w:t>נחקקה במסגרת תיקון 197 לפקודה, ה</w:t>
      </w:r>
      <w:r w:rsidR="006C15BA" w:rsidRPr="000D406A">
        <w:rPr>
          <w:rFonts w:hint="cs"/>
          <w:sz w:val="26"/>
          <w:rtl/>
        </w:rPr>
        <w:t>חלה לגבי מי שסיים את ל</w:t>
      </w:r>
      <w:r w:rsidR="00570930" w:rsidRPr="000D406A">
        <w:rPr>
          <w:rFonts w:hint="cs"/>
          <w:sz w:val="26"/>
          <w:rtl/>
        </w:rPr>
        <w:t xml:space="preserve">ימודיו בשנת 2014 או 2015, נקבע כי </w:t>
      </w:r>
      <w:r w:rsidR="006C15BA" w:rsidRPr="000D406A">
        <w:rPr>
          <w:rFonts w:hint="cs"/>
          <w:sz w:val="26"/>
          <w:rtl/>
        </w:rPr>
        <w:t>נקודת זיכוי כאמור תינתן רק במשך שנה אחת לאחר סיום התואר. הוראת שעה זו הוארכה במסגרת חוק ההתייעלות הכלכלית</w:t>
      </w:r>
      <w:r w:rsidR="00570930" w:rsidRPr="000D406A">
        <w:rPr>
          <w:rFonts w:hint="cs"/>
          <w:sz w:val="26"/>
          <w:rtl/>
        </w:rPr>
        <w:t xml:space="preserve"> </w:t>
      </w:r>
      <w:r w:rsidR="006C15BA" w:rsidRPr="000D406A">
        <w:rPr>
          <w:rFonts w:hint="cs"/>
          <w:sz w:val="26"/>
          <w:rtl/>
        </w:rPr>
        <w:t>(תיקוני חקיקה להשגת יעדי התקציב בשנות התקציב 2015-2016), התשע"ו-2015, גם לגבי מי שסיים לימודיו בשנות המס 2016 עד 2018.</w:t>
      </w:r>
    </w:p>
    <w:p w:rsidR="0095755F" w:rsidRPr="000D406A" w:rsidRDefault="0095755F" w:rsidP="000D406A">
      <w:pPr>
        <w:pStyle w:val="Hesber"/>
        <w:ind w:left="360" w:firstLine="0"/>
        <w:rPr>
          <w:rFonts w:asciiTheme="minorBidi" w:eastAsiaTheme="minorHAnsi" w:hAnsiTheme="minorBidi"/>
          <w:sz w:val="26"/>
          <w:rtl/>
          <w:lang w:eastAsia="en-US"/>
        </w:rPr>
      </w:pPr>
    </w:p>
    <w:p w:rsidR="00BD109F" w:rsidRPr="000D406A" w:rsidRDefault="00BD109F" w:rsidP="000D406A">
      <w:pPr>
        <w:pStyle w:val="Hesber"/>
        <w:ind w:left="360" w:firstLine="0"/>
        <w:rPr>
          <w:sz w:val="26"/>
          <w:rtl/>
        </w:rPr>
      </w:pPr>
      <w:r w:rsidRPr="000D406A">
        <w:rPr>
          <w:rFonts w:asciiTheme="minorBidi" w:eastAsiaTheme="minorHAnsi" w:hAnsiTheme="minorBidi" w:hint="cs"/>
          <w:sz w:val="26"/>
          <w:rtl/>
          <w:lang w:eastAsia="en-US"/>
        </w:rPr>
        <w:t>מדובר בהטבה רגרסיבית במהותה, הניתנת באופן אחיד לבעלי מקצוע</w:t>
      </w:r>
      <w:r w:rsidR="004666B3" w:rsidRPr="000D406A">
        <w:rPr>
          <w:rFonts w:asciiTheme="minorBidi" w:eastAsiaTheme="minorHAnsi" w:hAnsiTheme="minorBidi" w:hint="cs"/>
          <w:sz w:val="26"/>
          <w:rtl/>
          <w:lang w:eastAsia="en-US"/>
        </w:rPr>
        <w:t xml:space="preserve"> </w:t>
      </w:r>
      <w:r w:rsidRPr="000D406A">
        <w:rPr>
          <w:rFonts w:asciiTheme="minorBidi" w:eastAsiaTheme="minorHAnsi" w:hAnsiTheme="minorBidi" w:hint="cs"/>
          <w:sz w:val="26"/>
          <w:rtl/>
          <w:lang w:eastAsia="en-US"/>
        </w:rPr>
        <w:t>אשר נמנים על שכבת מקבלי שכר גבוה. אפקטיביות ההטבה מוגבלת,</w:t>
      </w:r>
      <w:r w:rsidR="00570930" w:rsidRPr="000D406A">
        <w:rPr>
          <w:rFonts w:asciiTheme="minorBidi" w:eastAsiaTheme="minorHAnsi" w:hAnsiTheme="minorBidi" w:hint="cs"/>
          <w:sz w:val="26"/>
          <w:rtl/>
          <w:lang w:eastAsia="en-US"/>
        </w:rPr>
        <w:t xml:space="preserve"> שכן היא </w:t>
      </w:r>
      <w:r w:rsidRPr="000D406A">
        <w:rPr>
          <w:rFonts w:asciiTheme="minorBidi" w:eastAsiaTheme="minorHAnsi" w:hAnsiTheme="minorBidi" w:hint="cs"/>
          <w:sz w:val="26"/>
          <w:rtl/>
          <w:lang w:eastAsia="en-US"/>
        </w:rPr>
        <w:t>מוענקת ליחיד בתום הלימודים והיא אינה משפיעה על מצבו הכלכלי בזמן הלימודים</w:t>
      </w:r>
      <w:r w:rsidR="005E1623" w:rsidRPr="000D406A">
        <w:rPr>
          <w:rFonts w:asciiTheme="minorBidi" w:eastAsiaTheme="minorHAnsi" w:hAnsiTheme="minorBidi" w:hint="cs"/>
          <w:sz w:val="26"/>
          <w:rtl/>
          <w:lang w:eastAsia="en-US"/>
        </w:rPr>
        <w:t>, כאשר צרכיו גדולים יותר</w:t>
      </w:r>
      <w:r w:rsidRPr="000D406A">
        <w:rPr>
          <w:rFonts w:asciiTheme="minorBidi" w:eastAsiaTheme="minorHAnsi" w:hAnsiTheme="minorBidi" w:hint="cs"/>
          <w:sz w:val="26"/>
          <w:rtl/>
          <w:lang w:eastAsia="en-US"/>
        </w:rPr>
        <w:t>.</w:t>
      </w:r>
    </w:p>
    <w:p w:rsidR="0095755F" w:rsidRPr="000D406A" w:rsidRDefault="0095755F" w:rsidP="000D406A">
      <w:pPr>
        <w:pStyle w:val="Hesber"/>
        <w:ind w:left="360" w:firstLine="0"/>
        <w:rPr>
          <w:sz w:val="26"/>
          <w:rtl/>
        </w:rPr>
      </w:pPr>
    </w:p>
    <w:p w:rsidR="00984A4F" w:rsidRPr="000D406A" w:rsidRDefault="00BD109F" w:rsidP="000D406A">
      <w:pPr>
        <w:pStyle w:val="Hesber"/>
        <w:ind w:left="360" w:firstLine="0"/>
        <w:rPr>
          <w:sz w:val="26"/>
        </w:rPr>
      </w:pPr>
      <w:r w:rsidRPr="000D406A">
        <w:rPr>
          <w:rFonts w:hint="cs"/>
          <w:sz w:val="26"/>
          <w:rtl/>
        </w:rPr>
        <w:t>לפיכך</w:t>
      </w:r>
      <w:r w:rsidR="0095755F" w:rsidRPr="000D406A">
        <w:rPr>
          <w:rFonts w:hint="cs"/>
          <w:sz w:val="26"/>
          <w:rtl/>
        </w:rPr>
        <w:t>,</w:t>
      </w:r>
      <w:r w:rsidRPr="000D406A">
        <w:rPr>
          <w:rFonts w:hint="cs"/>
          <w:sz w:val="26"/>
          <w:rtl/>
        </w:rPr>
        <w:t xml:space="preserve"> </w:t>
      </w:r>
      <w:r w:rsidR="00984A4F" w:rsidRPr="000D406A">
        <w:rPr>
          <w:rFonts w:hint="cs"/>
          <w:sz w:val="26"/>
          <w:rtl/>
        </w:rPr>
        <w:t xml:space="preserve">מוצע </w:t>
      </w:r>
      <w:r w:rsidR="006C15BA" w:rsidRPr="000D406A">
        <w:rPr>
          <w:rFonts w:hint="cs"/>
          <w:sz w:val="26"/>
          <w:rtl/>
        </w:rPr>
        <w:t xml:space="preserve">להאריך את </w:t>
      </w:r>
      <w:r w:rsidR="00984A4F" w:rsidRPr="000D406A">
        <w:rPr>
          <w:rFonts w:hint="cs"/>
          <w:sz w:val="26"/>
          <w:rtl/>
        </w:rPr>
        <w:t xml:space="preserve">הוראת </w:t>
      </w:r>
      <w:r w:rsidR="006C15BA" w:rsidRPr="000D406A">
        <w:rPr>
          <w:rFonts w:hint="cs"/>
          <w:sz w:val="26"/>
          <w:rtl/>
        </w:rPr>
        <w:t>ה</w:t>
      </w:r>
      <w:r w:rsidR="00984A4F" w:rsidRPr="000D406A">
        <w:rPr>
          <w:rFonts w:hint="cs"/>
          <w:sz w:val="26"/>
          <w:rtl/>
        </w:rPr>
        <w:t xml:space="preserve">שעה לגבי סעיפים 40ג ו-40ד לפקודה, כך שלגבי מי שסיים את לימודיו בתקופה מיום 1 בינואר </w:t>
      </w:r>
      <w:r w:rsidR="006C15BA" w:rsidRPr="000D406A">
        <w:rPr>
          <w:rFonts w:hint="cs"/>
          <w:sz w:val="26"/>
          <w:rtl/>
        </w:rPr>
        <w:t xml:space="preserve">2019 </w:t>
      </w:r>
      <w:r w:rsidR="00984A4F" w:rsidRPr="000D406A">
        <w:rPr>
          <w:rFonts w:hint="cs"/>
          <w:sz w:val="26"/>
          <w:rtl/>
        </w:rPr>
        <w:t xml:space="preserve">עד יום 31 בדצמבר 2025, יקראו את הסעיפים האמורים כך שנקודות הזיכוי הניתנות לפיהם יחולו במשך שנת מס אחת, בדומה </w:t>
      </w:r>
      <w:r w:rsidR="008D6478" w:rsidRPr="000D406A">
        <w:rPr>
          <w:rFonts w:hint="cs"/>
          <w:sz w:val="26"/>
          <w:rtl/>
        </w:rPr>
        <w:t>להוראות</w:t>
      </w:r>
      <w:r w:rsidR="00984A4F" w:rsidRPr="000D406A">
        <w:rPr>
          <w:rFonts w:hint="cs"/>
          <w:sz w:val="26"/>
          <w:rtl/>
        </w:rPr>
        <w:t xml:space="preserve"> ה</w:t>
      </w:r>
      <w:r w:rsidR="008D6478" w:rsidRPr="000D406A">
        <w:rPr>
          <w:rFonts w:hint="cs"/>
          <w:sz w:val="26"/>
          <w:rtl/>
        </w:rPr>
        <w:t>חלות כ</w:t>
      </w:r>
      <w:r w:rsidR="00984A4F" w:rsidRPr="000D406A">
        <w:rPr>
          <w:rFonts w:hint="cs"/>
          <w:sz w:val="26"/>
          <w:rtl/>
        </w:rPr>
        <w:t xml:space="preserve">יום, לגבי מי שסיים לימודיו בשנים 2016 </w:t>
      </w:r>
      <w:r w:rsidR="006C15BA" w:rsidRPr="000D406A">
        <w:rPr>
          <w:rFonts w:hint="cs"/>
          <w:sz w:val="26"/>
          <w:rtl/>
        </w:rPr>
        <w:t>עד 2018.</w:t>
      </w:r>
    </w:p>
    <w:p w:rsidR="00984A4F" w:rsidRPr="000D406A" w:rsidRDefault="00984A4F" w:rsidP="000D406A">
      <w:pPr>
        <w:pStyle w:val="Hesber"/>
        <w:ind w:left="360" w:firstLine="0"/>
        <w:rPr>
          <w:b/>
          <w:bCs/>
          <w:sz w:val="26"/>
          <w:rtl/>
        </w:rPr>
      </w:pPr>
    </w:p>
    <w:p w:rsidR="00984A4F" w:rsidRPr="000D406A" w:rsidRDefault="00984A4F" w:rsidP="000D406A">
      <w:pPr>
        <w:pStyle w:val="Hesber"/>
        <w:ind w:left="360" w:firstLine="0"/>
        <w:rPr>
          <w:b/>
          <w:bCs/>
          <w:sz w:val="26"/>
          <w:rtl/>
        </w:rPr>
      </w:pPr>
    </w:p>
    <w:p w:rsidR="0073180F" w:rsidRPr="000D406A" w:rsidRDefault="0073180F" w:rsidP="000D406A">
      <w:pPr>
        <w:pStyle w:val="Hesber"/>
        <w:ind w:left="360" w:firstLine="0"/>
        <w:rPr>
          <w:b/>
          <w:bCs/>
          <w:sz w:val="26"/>
          <w:rtl/>
        </w:rPr>
      </w:pPr>
      <w:r w:rsidRPr="000D406A">
        <w:rPr>
          <w:rFonts w:hint="cs"/>
          <w:b/>
          <w:bCs/>
          <w:sz w:val="26"/>
          <w:rtl/>
        </w:rPr>
        <w:t>לסעיף 3</w:t>
      </w:r>
    </w:p>
    <w:p w:rsidR="0073180F" w:rsidRPr="000D406A" w:rsidRDefault="0073180F" w:rsidP="000D406A">
      <w:pPr>
        <w:pStyle w:val="Hesber"/>
        <w:ind w:left="360" w:firstLine="0"/>
        <w:rPr>
          <w:sz w:val="26"/>
          <w:rtl/>
        </w:rPr>
      </w:pPr>
    </w:p>
    <w:p w:rsidR="00F5715D" w:rsidRPr="000D406A" w:rsidRDefault="00F5715D" w:rsidP="00165396">
      <w:pPr>
        <w:pStyle w:val="Hesber"/>
        <w:ind w:left="360" w:firstLine="0"/>
        <w:rPr>
          <w:sz w:val="26"/>
          <w:rtl/>
        </w:rPr>
      </w:pPr>
      <w:r w:rsidRPr="000D406A">
        <w:rPr>
          <w:rFonts w:hint="cs"/>
          <w:sz w:val="26"/>
          <w:rtl/>
        </w:rPr>
        <w:t>סעיף 18(א) ל</w:t>
      </w:r>
      <w:r w:rsidRPr="000D406A">
        <w:rPr>
          <w:sz w:val="26"/>
          <w:rtl/>
        </w:rPr>
        <w:t>חוק שירות המילואים, התשס"ח</w:t>
      </w:r>
      <w:r w:rsidR="00165396">
        <w:rPr>
          <w:rFonts w:hint="cs"/>
          <w:sz w:val="26"/>
          <w:rtl/>
        </w:rPr>
        <w:t>-</w:t>
      </w:r>
      <w:r w:rsidRPr="000D406A">
        <w:rPr>
          <w:sz w:val="26"/>
          <w:rtl/>
        </w:rPr>
        <w:t>2008</w:t>
      </w:r>
      <w:r w:rsidRPr="000D406A">
        <w:rPr>
          <w:rFonts w:hint="cs"/>
          <w:sz w:val="26"/>
          <w:rtl/>
        </w:rPr>
        <w:t xml:space="preserve"> </w:t>
      </w:r>
      <w:r w:rsidR="00261F84" w:rsidRPr="000D406A">
        <w:rPr>
          <w:rFonts w:hint="cs"/>
          <w:sz w:val="26"/>
          <w:rtl/>
        </w:rPr>
        <w:t xml:space="preserve">(להלן </w:t>
      </w:r>
      <w:r w:rsidR="00261F84" w:rsidRPr="000D406A">
        <w:rPr>
          <w:sz w:val="26"/>
          <w:rtl/>
        </w:rPr>
        <w:t>–</w:t>
      </w:r>
      <w:r w:rsidR="00165396">
        <w:rPr>
          <w:rFonts w:hint="cs"/>
          <w:b/>
          <w:bCs/>
          <w:sz w:val="26"/>
          <w:rtl/>
        </w:rPr>
        <w:t xml:space="preserve"> </w:t>
      </w:r>
      <w:r w:rsidR="00261F84" w:rsidRPr="000D406A">
        <w:rPr>
          <w:rFonts w:hint="cs"/>
          <w:b/>
          <w:bCs/>
          <w:sz w:val="26"/>
          <w:rtl/>
        </w:rPr>
        <w:t>חוק שירות מילואים</w:t>
      </w:r>
      <w:r w:rsidR="00261F84" w:rsidRPr="000D406A">
        <w:rPr>
          <w:rFonts w:hint="cs"/>
          <w:sz w:val="26"/>
          <w:rtl/>
        </w:rPr>
        <w:t>)</w:t>
      </w:r>
      <w:r w:rsidR="0095755F" w:rsidRPr="000D406A">
        <w:rPr>
          <w:rFonts w:hint="cs"/>
          <w:sz w:val="26"/>
          <w:rtl/>
        </w:rPr>
        <w:t>,</w:t>
      </w:r>
      <w:r w:rsidR="00261F84" w:rsidRPr="000D406A">
        <w:rPr>
          <w:rFonts w:hint="cs"/>
          <w:sz w:val="26"/>
          <w:rtl/>
        </w:rPr>
        <w:t xml:space="preserve"> </w:t>
      </w:r>
      <w:r w:rsidRPr="000D406A">
        <w:rPr>
          <w:rFonts w:hint="cs"/>
          <w:sz w:val="26"/>
          <w:rtl/>
        </w:rPr>
        <w:t xml:space="preserve">קובע כי </w:t>
      </w:r>
      <w:r w:rsidR="0046008B" w:rsidRPr="000D406A">
        <w:rPr>
          <w:sz w:val="26"/>
          <w:rtl/>
        </w:rPr>
        <w:t>חייל מילואים</w:t>
      </w:r>
      <w:r w:rsidR="00675B8A" w:rsidRPr="000D406A">
        <w:rPr>
          <w:rFonts w:hint="cs"/>
          <w:sz w:val="26"/>
          <w:rtl/>
        </w:rPr>
        <w:t xml:space="preserve"> </w:t>
      </w:r>
      <w:r w:rsidRPr="000D406A">
        <w:rPr>
          <w:rFonts w:hint="cs"/>
          <w:sz w:val="26"/>
          <w:rtl/>
        </w:rPr>
        <w:t xml:space="preserve">יהיה </w:t>
      </w:r>
      <w:r w:rsidRPr="000D406A">
        <w:rPr>
          <w:sz w:val="26"/>
          <w:rtl/>
        </w:rPr>
        <w:t>זכאי</w:t>
      </w:r>
      <w:r w:rsidR="00187F06" w:rsidRPr="000D406A">
        <w:rPr>
          <w:sz w:val="26"/>
          <w:rtl/>
        </w:rPr>
        <w:t xml:space="preserve"> לתגמול מיוחד בשל שירות </w:t>
      </w:r>
      <w:r w:rsidR="00675B8A" w:rsidRPr="000D406A">
        <w:rPr>
          <w:rFonts w:hint="cs"/>
          <w:sz w:val="26"/>
          <w:rtl/>
        </w:rPr>
        <w:t>ה</w:t>
      </w:r>
      <w:r w:rsidR="00187F06" w:rsidRPr="000D406A">
        <w:rPr>
          <w:sz w:val="26"/>
          <w:rtl/>
        </w:rPr>
        <w:t xml:space="preserve">מילואים שביצע </w:t>
      </w:r>
      <w:r w:rsidR="00A3377E" w:rsidRPr="000D406A">
        <w:rPr>
          <w:sz w:val="26"/>
          <w:rtl/>
        </w:rPr>
        <w:t>(</w:t>
      </w:r>
      <w:r w:rsidR="00A3377E" w:rsidRPr="000D406A">
        <w:rPr>
          <w:rFonts w:hint="cs"/>
          <w:sz w:val="26"/>
          <w:rtl/>
        </w:rPr>
        <w:t>להלן</w:t>
      </w:r>
      <w:r w:rsidR="00A3377E" w:rsidRPr="000D406A">
        <w:rPr>
          <w:sz w:val="26"/>
          <w:rtl/>
        </w:rPr>
        <w:t xml:space="preserve"> </w:t>
      </w:r>
      <w:r w:rsidR="00A3377E" w:rsidRPr="000D406A">
        <w:rPr>
          <w:rFonts w:cs="HadasaMFO"/>
          <w:sz w:val="26"/>
          <w:rtl/>
        </w:rPr>
        <w:t>—</w:t>
      </w:r>
      <w:r w:rsidR="00A3377E" w:rsidRPr="000D406A">
        <w:rPr>
          <w:sz w:val="26"/>
          <w:rtl/>
        </w:rPr>
        <w:t xml:space="preserve"> </w:t>
      </w:r>
      <w:r w:rsidR="00A3377E" w:rsidRPr="000D406A">
        <w:rPr>
          <w:b/>
          <w:bCs/>
          <w:sz w:val="26"/>
          <w:rtl/>
        </w:rPr>
        <w:t>תגמול מיוחד</w:t>
      </w:r>
      <w:r w:rsidR="00A3377E" w:rsidRPr="000D406A">
        <w:rPr>
          <w:sz w:val="26"/>
          <w:rtl/>
        </w:rPr>
        <w:t>), בנוסף לתגמולים אחרים שלהם הוא זכאי על פי כל דין</w:t>
      </w:r>
      <w:r w:rsidR="00A3377E" w:rsidRPr="000D406A">
        <w:rPr>
          <w:rFonts w:hint="cs"/>
          <w:sz w:val="26"/>
          <w:rtl/>
        </w:rPr>
        <w:t>.</w:t>
      </w:r>
      <w:r w:rsidR="00A3377E" w:rsidRPr="000D406A">
        <w:rPr>
          <w:sz w:val="26"/>
          <w:rtl/>
        </w:rPr>
        <w:t xml:space="preserve"> תנאי הזכאות לתגמול המיוחד, לרבות משך תקופת </w:t>
      </w:r>
      <w:r w:rsidR="00A3377E" w:rsidRPr="000D406A">
        <w:rPr>
          <w:sz w:val="26"/>
          <w:rtl/>
        </w:rPr>
        <w:lastRenderedPageBreak/>
        <w:t xml:space="preserve">שירות המילואים המזכה, וכן שיעוריו ודרכי ביצוע התשלום, </w:t>
      </w:r>
      <w:r w:rsidR="0095755F" w:rsidRPr="000D406A">
        <w:rPr>
          <w:rFonts w:hint="cs"/>
          <w:sz w:val="26"/>
          <w:rtl/>
        </w:rPr>
        <w:t>נקבעו</w:t>
      </w:r>
      <w:r w:rsidR="00A3377E" w:rsidRPr="000D406A">
        <w:rPr>
          <w:sz w:val="26"/>
          <w:rtl/>
        </w:rPr>
        <w:t xml:space="preserve"> בפקודות הצבא.</w:t>
      </w:r>
      <w:r w:rsidR="00A3377E" w:rsidRPr="000D406A">
        <w:rPr>
          <w:rFonts w:hint="cs"/>
          <w:sz w:val="26"/>
          <w:rtl/>
        </w:rPr>
        <w:t xml:space="preserve"> בהתאם לפקודת מטכ"ל</w:t>
      </w:r>
      <w:r w:rsidR="0095755F" w:rsidRPr="000D406A">
        <w:rPr>
          <w:rFonts w:hint="cs"/>
          <w:sz w:val="26"/>
          <w:rtl/>
        </w:rPr>
        <w:t xml:space="preserve"> מס'</w:t>
      </w:r>
      <w:r w:rsidR="00A3377E" w:rsidRPr="000D406A">
        <w:rPr>
          <w:rFonts w:hint="cs"/>
          <w:sz w:val="26"/>
          <w:rtl/>
        </w:rPr>
        <w:t xml:space="preserve"> 35.0209</w:t>
      </w:r>
      <w:r w:rsidR="00790398" w:rsidRPr="000D406A">
        <w:rPr>
          <w:rFonts w:hint="cs"/>
          <w:sz w:val="26"/>
          <w:rtl/>
        </w:rPr>
        <w:t>,</w:t>
      </w:r>
      <w:r w:rsidR="0095755F" w:rsidRPr="000D406A">
        <w:rPr>
          <w:rFonts w:hint="cs"/>
          <w:sz w:val="26"/>
          <w:rtl/>
        </w:rPr>
        <w:t xml:space="preserve"> המכסות, האוכלוסיות</w:t>
      </w:r>
      <w:r w:rsidR="00A3377E" w:rsidRPr="000D406A">
        <w:rPr>
          <w:rFonts w:hint="cs"/>
          <w:sz w:val="26"/>
          <w:rtl/>
        </w:rPr>
        <w:t xml:space="preserve"> והסכומים</w:t>
      </w:r>
      <w:r w:rsidR="0095755F" w:rsidRPr="000D406A">
        <w:rPr>
          <w:rFonts w:hint="cs"/>
          <w:sz w:val="26"/>
          <w:rtl/>
        </w:rPr>
        <w:t>,</w:t>
      </w:r>
      <w:r w:rsidR="00A3377E" w:rsidRPr="000D406A">
        <w:rPr>
          <w:rFonts w:hint="cs"/>
          <w:sz w:val="26"/>
          <w:rtl/>
        </w:rPr>
        <w:t xml:space="preserve"> לעניין התגמול המיוחד ייקבעו על ידי הגורמים המוסמכים לכך בצה"ל. </w:t>
      </w:r>
      <w:r w:rsidR="00A3377E" w:rsidRPr="000D406A">
        <w:rPr>
          <w:rFonts w:hint="eastAsia"/>
          <w:sz w:val="26"/>
          <w:rtl/>
        </w:rPr>
        <w:t>במצב</w:t>
      </w:r>
      <w:r w:rsidR="00A3377E" w:rsidRPr="000D406A">
        <w:rPr>
          <w:sz w:val="26"/>
          <w:rtl/>
        </w:rPr>
        <w:t xml:space="preserve"> הנוכחי, </w:t>
      </w:r>
      <w:r w:rsidR="00A3377E" w:rsidRPr="000D406A">
        <w:rPr>
          <w:rFonts w:hint="eastAsia"/>
          <w:sz w:val="26"/>
          <w:rtl/>
        </w:rPr>
        <w:t>הנהנים</w:t>
      </w:r>
      <w:r w:rsidR="00A3377E" w:rsidRPr="000D406A">
        <w:rPr>
          <w:sz w:val="26"/>
          <w:rtl/>
        </w:rPr>
        <w:t xml:space="preserve"> </w:t>
      </w:r>
      <w:r w:rsidR="00A3377E" w:rsidRPr="000D406A">
        <w:rPr>
          <w:rFonts w:hint="eastAsia"/>
          <w:sz w:val="26"/>
          <w:rtl/>
        </w:rPr>
        <w:t>העיקריים</w:t>
      </w:r>
      <w:r w:rsidR="00A3377E" w:rsidRPr="000D406A">
        <w:rPr>
          <w:sz w:val="26"/>
          <w:rtl/>
        </w:rPr>
        <w:t xml:space="preserve"> מקבלת </w:t>
      </w:r>
      <w:r w:rsidR="0046008B" w:rsidRPr="000D406A">
        <w:rPr>
          <w:rFonts w:hint="cs"/>
          <w:sz w:val="26"/>
          <w:rtl/>
        </w:rPr>
        <w:t>ה</w:t>
      </w:r>
      <w:r w:rsidR="00A3377E" w:rsidRPr="000D406A">
        <w:rPr>
          <w:rFonts w:hint="eastAsia"/>
          <w:sz w:val="26"/>
          <w:rtl/>
        </w:rPr>
        <w:t>תגמול</w:t>
      </w:r>
      <w:r w:rsidR="00A3377E" w:rsidRPr="000D406A">
        <w:rPr>
          <w:sz w:val="26"/>
          <w:rtl/>
        </w:rPr>
        <w:t xml:space="preserve"> המיוחד </w:t>
      </w:r>
      <w:r w:rsidR="00A3377E" w:rsidRPr="000D406A">
        <w:rPr>
          <w:rFonts w:hint="eastAsia"/>
          <w:sz w:val="26"/>
          <w:rtl/>
        </w:rPr>
        <w:t>הם</w:t>
      </w:r>
      <w:r w:rsidR="00A3377E" w:rsidRPr="000D406A">
        <w:rPr>
          <w:sz w:val="26"/>
          <w:rtl/>
        </w:rPr>
        <w:t xml:space="preserve"> </w:t>
      </w:r>
      <w:r w:rsidR="00A3377E" w:rsidRPr="000D406A">
        <w:rPr>
          <w:rFonts w:hint="eastAsia"/>
          <w:sz w:val="26"/>
          <w:rtl/>
        </w:rPr>
        <w:t>מבצעי</w:t>
      </w:r>
      <w:r w:rsidR="00A3377E" w:rsidRPr="000D406A">
        <w:rPr>
          <w:sz w:val="26"/>
          <w:rtl/>
        </w:rPr>
        <w:t xml:space="preserve"> שירות מילואים </w:t>
      </w:r>
      <w:r w:rsidR="00A3377E" w:rsidRPr="000D406A">
        <w:rPr>
          <w:rFonts w:hint="eastAsia"/>
          <w:sz w:val="26"/>
          <w:rtl/>
        </w:rPr>
        <w:t>במשך</w:t>
      </w:r>
      <w:r w:rsidR="00A3377E" w:rsidRPr="000D406A">
        <w:rPr>
          <w:sz w:val="26"/>
          <w:rtl/>
        </w:rPr>
        <w:t xml:space="preserve"> 32 ימים בשנה</w:t>
      </w:r>
      <w:r w:rsidR="0046008B" w:rsidRPr="000D406A">
        <w:rPr>
          <w:rFonts w:hint="cs"/>
          <w:sz w:val="26"/>
          <w:rtl/>
        </w:rPr>
        <w:t>,</w:t>
      </w:r>
      <w:r w:rsidR="00A3377E" w:rsidRPr="000D406A">
        <w:rPr>
          <w:sz w:val="26"/>
          <w:rtl/>
        </w:rPr>
        <w:t xml:space="preserve"> או יותר, </w:t>
      </w:r>
      <w:r w:rsidR="00A3377E" w:rsidRPr="000D406A">
        <w:rPr>
          <w:rFonts w:hint="eastAsia"/>
          <w:sz w:val="26"/>
          <w:rtl/>
        </w:rPr>
        <w:t>הזכאים</w:t>
      </w:r>
      <w:r w:rsidR="00A3377E" w:rsidRPr="000D406A">
        <w:rPr>
          <w:sz w:val="26"/>
          <w:rtl/>
        </w:rPr>
        <w:t xml:space="preserve"> </w:t>
      </w:r>
      <w:r w:rsidR="00A3377E" w:rsidRPr="000D406A">
        <w:rPr>
          <w:rFonts w:hint="eastAsia"/>
          <w:sz w:val="26"/>
          <w:rtl/>
        </w:rPr>
        <w:t>לסכום</w:t>
      </w:r>
      <w:r w:rsidR="00A3377E" w:rsidRPr="000D406A">
        <w:rPr>
          <w:sz w:val="26"/>
          <w:rtl/>
        </w:rPr>
        <w:t xml:space="preserve"> </w:t>
      </w:r>
      <w:r w:rsidR="00A3377E" w:rsidRPr="000D406A">
        <w:rPr>
          <w:rFonts w:hint="eastAsia"/>
          <w:sz w:val="26"/>
          <w:rtl/>
        </w:rPr>
        <w:t>של</w:t>
      </w:r>
      <w:r w:rsidR="00A3377E" w:rsidRPr="000D406A">
        <w:rPr>
          <w:sz w:val="26"/>
          <w:rtl/>
        </w:rPr>
        <w:t xml:space="preserve"> 100 </w:t>
      </w:r>
      <w:r w:rsidR="00A3377E" w:rsidRPr="000D406A">
        <w:rPr>
          <w:rFonts w:hint="eastAsia"/>
          <w:sz w:val="26"/>
          <w:rtl/>
        </w:rPr>
        <w:t>שקלים</w:t>
      </w:r>
      <w:r w:rsidR="00A3377E" w:rsidRPr="000D406A">
        <w:rPr>
          <w:sz w:val="26"/>
          <w:rtl/>
        </w:rPr>
        <w:t xml:space="preserve"> </w:t>
      </w:r>
      <w:r w:rsidR="00A3377E" w:rsidRPr="000D406A">
        <w:rPr>
          <w:rFonts w:hint="eastAsia"/>
          <w:sz w:val="26"/>
          <w:rtl/>
        </w:rPr>
        <w:t>חדשים</w:t>
      </w:r>
      <w:r w:rsidR="00A3377E" w:rsidRPr="000D406A">
        <w:rPr>
          <w:sz w:val="26"/>
          <w:rtl/>
        </w:rPr>
        <w:t xml:space="preserve"> </w:t>
      </w:r>
      <w:r w:rsidR="00A3377E" w:rsidRPr="000D406A">
        <w:rPr>
          <w:rFonts w:hint="eastAsia"/>
          <w:sz w:val="26"/>
          <w:rtl/>
        </w:rPr>
        <w:t>לכל</w:t>
      </w:r>
      <w:r w:rsidR="00A3377E" w:rsidRPr="000D406A">
        <w:rPr>
          <w:sz w:val="26"/>
          <w:rtl/>
        </w:rPr>
        <w:t xml:space="preserve"> </w:t>
      </w:r>
      <w:r w:rsidR="00A3377E" w:rsidRPr="000D406A">
        <w:rPr>
          <w:rFonts w:hint="eastAsia"/>
          <w:sz w:val="26"/>
          <w:rtl/>
        </w:rPr>
        <w:t>יום</w:t>
      </w:r>
      <w:r w:rsidR="00A3377E" w:rsidRPr="000D406A">
        <w:rPr>
          <w:sz w:val="26"/>
          <w:rtl/>
        </w:rPr>
        <w:t xml:space="preserve"> </w:t>
      </w:r>
      <w:r w:rsidR="00A3377E" w:rsidRPr="000D406A">
        <w:rPr>
          <w:rFonts w:hint="eastAsia"/>
          <w:sz w:val="26"/>
          <w:rtl/>
        </w:rPr>
        <w:t>שירות</w:t>
      </w:r>
      <w:r w:rsidR="00A3377E" w:rsidRPr="000D406A">
        <w:rPr>
          <w:sz w:val="26"/>
          <w:rtl/>
        </w:rPr>
        <w:t xml:space="preserve">, </w:t>
      </w:r>
      <w:r w:rsidR="00A3377E" w:rsidRPr="000D406A">
        <w:rPr>
          <w:rFonts w:hint="eastAsia"/>
          <w:sz w:val="26"/>
          <w:rtl/>
        </w:rPr>
        <w:t>החל</w:t>
      </w:r>
      <w:r w:rsidR="00A3377E" w:rsidRPr="000D406A">
        <w:rPr>
          <w:sz w:val="26"/>
          <w:rtl/>
        </w:rPr>
        <w:t xml:space="preserve"> </w:t>
      </w:r>
      <w:r w:rsidR="00A3377E" w:rsidRPr="000D406A">
        <w:rPr>
          <w:rFonts w:hint="eastAsia"/>
          <w:sz w:val="26"/>
          <w:rtl/>
        </w:rPr>
        <w:t>מהיום</w:t>
      </w:r>
      <w:r w:rsidR="00A3377E" w:rsidRPr="000D406A">
        <w:rPr>
          <w:sz w:val="26"/>
          <w:rtl/>
        </w:rPr>
        <w:t xml:space="preserve"> </w:t>
      </w:r>
      <w:r w:rsidR="00A3377E" w:rsidRPr="000D406A">
        <w:rPr>
          <w:rFonts w:hint="eastAsia"/>
          <w:sz w:val="26"/>
          <w:rtl/>
        </w:rPr>
        <w:t>ה</w:t>
      </w:r>
      <w:r w:rsidR="00A3377E" w:rsidRPr="000D406A">
        <w:rPr>
          <w:sz w:val="26"/>
          <w:rtl/>
        </w:rPr>
        <w:t xml:space="preserve">-32 </w:t>
      </w:r>
      <w:r w:rsidR="00A3377E" w:rsidRPr="000D406A">
        <w:rPr>
          <w:rFonts w:hint="eastAsia"/>
          <w:sz w:val="26"/>
          <w:rtl/>
        </w:rPr>
        <w:t>ועד</w:t>
      </w:r>
      <w:r w:rsidR="00A3377E" w:rsidRPr="000D406A">
        <w:rPr>
          <w:sz w:val="26"/>
          <w:rtl/>
        </w:rPr>
        <w:t xml:space="preserve"> </w:t>
      </w:r>
      <w:r w:rsidR="00A3377E" w:rsidRPr="000D406A">
        <w:rPr>
          <w:rFonts w:hint="eastAsia"/>
          <w:sz w:val="26"/>
          <w:rtl/>
        </w:rPr>
        <w:t>היום</w:t>
      </w:r>
      <w:r w:rsidR="00A3377E" w:rsidRPr="000D406A">
        <w:rPr>
          <w:sz w:val="26"/>
          <w:rtl/>
        </w:rPr>
        <w:t xml:space="preserve"> </w:t>
      </w:r>
      <w:r w:rsidR="00A3377E" w:rsidRPr="000D406A">
        <w:rPr>
          <w:rFonts w:hint="eastAsia"/>
          <w:sz w:val="26"/>
          <w:rtl/>
        </w:rPr>
        <w:t>ה</w:t>
      </w:r>
      <w:r w:rsidR="00A3377E" w:rsidRPr="000D406A">
        <w:rPr>
          <w:sz w:val="26"/>
          <w:rtl/>
        </w:rPr>
        <w:t>-60</w:t>
      </w:r>
      <w:r w:rsidR="00A3377E" w:rsidRPr="000D406A">
        <w:rPr>
          <w:rFonts w:hint="cs"/>
          <w:sz w:val="26"/>
          <w:rtl/>
        </w:rPr>
        <w:t xml:space="preserve"> </w:t>
      </w:r>
      <w:r w:rsidR="00187F06" w:rsidRPr="000D406A">
        <w:rPr>
          <w:rFonts w:hint="cs"/>
          <w:sz w:val="26"/>
          <w:rtl/>
        </w:rPr>
        <w:t>.</w:t>
      </w:r>
    </w:p>
    <w:p w:rsidR="0095755F" w:rsidRPr="000D406A" w:rsidRDefault="0095755F" w:rsidP="000D406A">
      <w:pPr>
        <w:pStyle w:val="Hesber"/>
        <w:ind w:left="360" w:firstLine="0"/>
        <w:rPr>
          <w:sz w:val="26"/>
          <w:rtl/>
        </w:rPr>
      </w:pPr>
    </w:p>
    <w:p w:rsidR="00187F06" w:rsidRPr="000D406A" w:rsidRDefault="00187F06" w:rsidP="00EF6C92">
      <w:pPr>
        <w:pStyle w:val="Hesber"/>
        <w:ind w:left="360" w:firstLine="0"/>
        <w:rPr>
          <w:sz w:val="26"/>
          <w:rtl/>
        </w:rPr>
      </w:pPr>
      <w:r w:rsidRPr="000D406A">
        <w:rPr>
          <w:rFonts w:hint="cs"/>
          <w:sz w:val="26"/>
          <w:rtl/>
        </w:rPr>
        <w:t>סעיף 18(ג)</w:t>
      </w:r>
      <w:r w:rsidR="00041542" w:rsidRPr="000D406A">
        <w:rPr>
          <w:rFonts w:hint="cs"/>
          <w:sz w:val="26"/>
          <w:rtl/>
        </w:rPr>
        <w:t>(1)</w:t>
      </w:r>
      <w:r w:rsidRPr="000D406A">
        <w:rPr>
          <w:rFonts w:hint="cs"/>
          <w:sz w:val="26"/>
          <w:rtl/>
        </w:rPr>
        <w:t xml:space="preserve"> לחוק </w:t>
      </w:r>
      <w:r w:rsidR="00261F84" w:rsidRPr="000D406A">
        <w:rPr>
          <w:rFonts w:hint="cs"/>
          <w:sz w:val="26"/>
          <w:rtl/>
        </w:rPr>
        <w:t xml:space="preserve">שירות מילואים </w:t>
      </w:r>
      <w:r w:rsidRPr="000D406A">
        <w:rPr>
          <w:rFonts w:hint="cs"/>
          <w:sz w:val="26"/>
          <w:rtl/>
        </w:rPr>
        <w:t xml:space="preserve">קובע כי </w:t>
      </w:r>
      <w:r w:rsidR="008236B5" w:rsidRPr="000D406A">
        <w:rPr>
          <w:rFonts w:hint="cs"/>
          <w:sz w:val="26"/>
          <w:rtl/>
        </w:rPr>
        <w:t>על אף הוראות כל דין</w:t>
      </w:r>
      <w:r w:rsidR="00A3377E" w:rsidRPr="000D406A">
        <w:rPr>
          <w:rFonts w:hint="cs"/>
          <w:sz w:val="26"/>
          <w:rtl/>
        </w:rPr>
        <w:t>,</w:t>
      </w:r>
      <w:r w:rsidR="008236B5" w:rsidRPr="000D406A">
        <w:rPr>
          <w:rFonts w:hint="cs"/>
          <w:sz w:val="26"/>
          <w:rtl/>
        </w:rPr>
        <w:t xml:space="preserve"> לא יראו את </w:t>
      </w:r>
      <w:r w:rsidRPr="000D406A">
        <w:rPr>
          <w:rFonts w:hint="cs"/>
          <w:sz w:val="26"/>
          <w:rtl/>
        </w:rPr>
        <w:t xml:space="preserve">תשלום </w:t>
      </w:r>
      <w:r w:rsidR="008236B5" w:rsidRPr="000D406A">
        <w:rPr>
          <w:rFonts w:hint="cs"/>
          <w:sz w:val="26"/>
          <w:rtl/>
        </w:rPr>
        <w:t>ה</w:t>
      </w:r>
      <w:r w:rsidRPr="000D406A">
        <w:rPr>
          <w:rFonts w:hint="cs"/>
          <w:sz w:val="26"/>
          <w:rtl/>
        </w:rPr>
        <w:t xml:space="preserve">תגמול </w:t>
      </w:r>
      <w:r w:rsidR="008236B5" w:rsidRPr="000D406A">
        <w:rPr>
          <w:rFonts w:hint="cs"/>
          <w:sz w:val="26"/>
          <w:rtl/>
        </w:rPr>
        <w:t>ה</w:t>
      </w:r>
      <w:r w:rsidRPr="000D406A">
        <w:rPr>
          <w:rFonts w:hint="cs"/>
          <w:sz w:val="26"/>
          <w:rtl/>
        </w:rPr>
        <w:t xml:space="preserve">מיוחד כהכנסה לעניין </w:t>
      </w:r>
      <w:r w:rsidRPr="000D406A">
        <w:rPr>
          <w:sz w:val="26"/>
          <w:rtl/>
        </w:rPr>
        <w:t>פקודת מס הכנסה‏</w:t>
      </w:r>
      <w:r w:rsidRPr="000D406A">
        <w:rPr>
          <w:rFonts w:hint="cs"/>
          <w:sz w:val="26"/>
          <w:rtl/>
        </w:rPr>
        <w:t xml:space="preserve">, </w:t>
      </w:r>
      <w:r w:rsidRPr="000D406A">
        <w:rPr>
          <w:sz w:val="26"/>
          <w:rtl/>
        </w:rPr>
        <w:t>לעניין חוק הביטוח הלאומי</w:t>
      </w:r>
      <w:r w:rsidRPr="000D406A">
        <w:rPr>
          <w:rFonts w:hint="cs"/>
          <w:sz w:val="26"/>
          <w:rtl/>
        </w:rPr>
        <w:t xml:space="preserve"> ו</w:t>
      </w:r>
      <w:r w:rsidRPr="000D406A">
        <w:rPr>
          <w:sz w:val="26"/>
          <w:rtl/>
        </w:rPr>
        <w:t>לעניין חוק ביטוח בריאות ממלכתי, התשנ"ד</w:t>
      </w:r>
      <w:r w:rsidR="00EF6C92">
        <w:rPr>
          <w:rFonts w:hint="cs"/>
          <w:sz w:val="26"/>
          <w:rtl/>
        </w:rPr>
        <w:t>-</w:t>
      </w:r>
      <w:r w:rsidRPr="000D406A">
        <w:rPr>
          <w:sz w:val="26"/>
          <w:rtl/>
        </w:rPr>
        <w:t>1994 .</w:t>
      </w:r>
    </w:p>
    <w:p w:rsidR="0095755F" w:rsidRPr="000D406A" w:rsidRDefault="0095755F" w:rsidP="000D406A">
      <w:pPr>
        <w:pStyle w:val="Hesber"/>
        <w:ind w:left="360" w:firstLine="0"/>
        <w:rPr>
          <w:sz w:val="26"/>
          <w:rtl/>
        </w:rPr>
      </w:pPr>
    </w:p>
    <w:p w:rsidR="00187F06" w:rsidRPr="000D406A" w:rsidRDefault="00187F06" w:rsidP="000D406A">
      <w:pPr>
        <w:pStyle w:val="Hesber"/>
        <w:ind w:left="360" w:firstLine="0"/>
        <w:rPr>
          <w:sz w:val="26"/>
          <w:rtl/>
        </w:rPr>
      </w:pPr>
      <w:r w:rsidRPr="000D406A">
        <w:rPr>
          <w:rFonts w:hint="cs"/>
          <w:sz w:val="26"/>
          <w:rtl/>
        </w:rPr>
        <w:t xml:space="preserve">יחד עם זאת, </w:t>
      </w:r>
      <w:r w:rsidR="00041542" w:rsidRPr="000D406A">
        <w:rPr>
          <w:rFonts w:hint="cs"/>
          <w:sz w:val="26"/>
          <w:rtl/>
        </w:rPr>
        <w:t xml:space="preserve">בסעיף 18(ג)(2) לחוק </w:t>
      </w:r>
      <w:r w:rsidR="00261F84" w:rsidRPr="000D406A">
        <w:rPr>
          <w:rFonts w:hint="cs"/>
          <w:sz w:val="26"/>
          <w:rtl/>
        </w:rPr>
        <w:t xml:space="preserve">שירות מילואים </w:t>
      </w:r>
      <w:r w:rsidRPr="000D406A">
        <w:rPr>
          <w:rFonts w:hint="cs"/>
          <w:sz w:val="26"/>
          <w:rtl/>
        </w:rPr>
        <w:t xml:space="preserve">נקבע הסדר </w:t>
      </w:r>
      <w:r w:rsidR="008236B5" w:rsidRPr="000D406A">
        <w:rPr>
          <w:rFonts w:hint="cs"/>
          <w:sz w:val="26"/>
          <w:rtl/>
        </w:rPr>
        <w:t>מיוחד ל</w:t>
      </w:r>
      <w:r w:rsidRPr="000D406A">
        <w:rPr>
          <w:rFonts w:hint="cs"/>
          <w:sz w:val="26"/>
          <w:rtl/>
        </w:rPr>
        <w:t xml:space="preserve">מיסוי </w:t>
      </w:r>
      <w:r w:rsidR="008236B5" w:rsidRPr="000D406A">
        <w:rPr>
          <w:rFonts w:hint="cs"/>
          <w:sz w:val="26"/>
          <w:rtl/>
        </w:rPr>
        <w:t>ה</w:t>
      </w:r>
      <w:r w:rsidR="00041542" w:rsidRPr="000D406A">
        <w:rPr>
          <w:rFonts w:hint="cs"/>
          <w:sz w:val="26"/>
          <w:rtl/>
        </w:rPr>
        <w:t xml:space="preserve">מענק </w:t>
      </w:r>
      <w:r w:rsidR="008236B5" w:rsidRPr="000D406A">
        <w:rPr>
          <w:rFonts w:hint="cs"/>
          <w:sz w:val="26"/>
          <w:rtl/>
        </w:rPr>
        <w:t>ה</w:t>
      </w:r>
      <w:r w:rsidR="00041542" w:rsidRPr="000D406A">
        <w:rPr>
          <w:rFonts w:hint="cs"/>
          <w:sz w:val="26"/>
          <w:rtl/>
        </w:rPr>
        <w:t xml:space="preserve">מיוחד </w:t>
      </w:r>
      <w:r w:rsidR="008236B5" w:rsidRPr="000D406A">
        <w:rPr>
          <w:rFonts w:hint="cs"/>
          <w:sz w:val="26"/>
          <w:rtl/>
        </w:rPr>
        <w:t>ולפיו</w:t>
      </w:r>
      <w:r w:rsidR="00AA56E9" w:rsidRPr="000D406A">
        <w:rPr>
          <w:rFonts w:hint="cs"/>
          <w:sz w:val="26"/>
          <w:rtl/>
        </w:rPr>
        <w:t xml:space="preserve"> </w:t>
      </w:r>
      <w:r w:rsidR="00041542" w:rsidRPr="000D406A">
        <w:rPr>
          <w:rFonts w:hint="cs"/>
          <w:sz w:val="26"/>
          <w:rtl/>
        </w:rPr>
        <w:t xml:space="preserve">יחויב מקבל </w:t>
      </w:r>
      <w:r w:rsidR="00041542" w:rsidRPr="000D406A">
        <w:rPr>
          <w:sz w:val="26"/>
          <w:rtl/>
        </w:rPr>
        <w:t>התגמול במס הכנסה בשיעור של 25%, ללא זכות לניכוי, לקיזוז, לפטור או להפחתה כלשהם.</w:t>
      </w:r>
      <w:r w:rsidR="00041542" w:rsidRPr="000D406A">
        <w:rPr>
          <w:rFonts w:hint="cs"/>
          <w:sz w:val="26"/>
          <w:rtl/>
        </w:rPr>
        <w:t xml:space="preserve"> </w:t>
      </w:r>
    </w:p>
    <w:p w:rsidR="0095755F" w:rsidRPr="000D406A" w:rsidRDefault="0095755F" w:rsidP="000D406A">
      <w:pPr>
        <w:pStyle w:val="Hesber"/>
        <w:ind w:left="360" w:firstLine="0"/>
        <w:rPr>
          <w:sz w:val="26"/>
          <w:rtl/>
        </w:rPr>
      </w:pPr>
    </w:p>
    <w:p w:rsidR="00106C05" w:rsidRPr="000D406A" w:rsidRDefault="009A4EA3" w:rsidP="000D406A">
      <w:pPr>
        <w:pStyle w:val="Hesber"/>
        <w:ind w:left="360" w:firstLine="0"/>
        <w:rPr>
          <w:sz w:val="26"/>
          <w:rtl/>
        </w:rPr>
      </w:pPr>
      <w:r w:rsidRPr="000D406A">
        <w:rPr>
          <w:rFonts w:hint="cs"/>
          <w:sz w:val="26"/>
          <w:rtl/>
        </w:rPr>
        <w:t>בנוסף</w:t>
      </w:r>
      <w:r w:rsidR="0095755F" w:rsidRPr="000D406A">
        <w:rPr>
          <w:rFonts w:hint="cs"/>
          <w:sz w:val="26"/>
          <w:rtl/>
        </w:rPr>
        <w:t>,</w:t>
      </w:r>
      <w:r w:rsidRPr="000D406A">
        <w:rPr>
          <w:rFonts w:hint="cs"/>
          <w:sz w:val="26"/>
          <w:rtl/>
        </w:rPr>
        <w:t xml:space="preserve"> נקבעו גם הוראות מיוחדות בסעיפים 18(ג)(3) ו </w:t>
      </w:r>
      <w:r w:rsidRPr="000D406A">
        <w:rPr>
          <w:sz w:val="26"/>
          <w:rtl/>
        </w:rPr>
        <w:t>–</w:t>
      </w:r>
      <w:r w:rsidRPr="000D406A">
        <w:rPr>
          <w:rFonts w:hint="cs"/>
          <w:sz w:val="26"/>
          <w:rtl/>
        </w:rPr>
        <w:t xml:space="preserve"> 18(ג)(4</w:t>
      </w:r>
      <w:r w:rsidR="00AA56E9" w:rsidRPr="000D406A">
        <w:rPr>
          <w:rFonts w:hint="cs"/>
          <w:sz w:val="26"/>
          <w:rtl/>
        </w:rPr>
        <w:t xml:space="preserve">) </w:t>
      </w:r>
      <w:r w:rsidR="0046008B" w:rsidRPr="000D406A">
        <w:rPr>
          <w:rFonts w:hint="cs"/>
          <w:sz w:val="26"/>
          <w:rtl/>
        </w:rPr>
        <w:t>לחוק, לצורך יישום הסדר המס</w:t>
      </w:r>
      <w:r w:rsidRPr="000D406A">
        <w:rPr>
          <w:rFonts w:hint="cs"/>
          <w:sz w:val="26"/>
          <w:rtl/>
        </w:rPr>
        <w:t xml:space="preserve"> המיו</w:t>
      </w:r>
      <w:r w:rsidR="00755935" w:rsidRPr="000D406A">
        <w:rPr>
          <w:rFonts w:hint="cs"/>
          <w:sz w:val="26"/>
          <w:rtl/>
        </w:rPr>
        <w:t xml:space="preserve">חד </w:t>
      </w:r>
      <w:r w:rsidR="00AA56E9" w:rsidRPr="000D406A">
        <w:rPr>
          <w:rFonts w:hint="cs"/>
          <w:sz w:val="26"/>
          <w:rtl/>
        </w:rPr>
        <w:t>שחל</w:t>
      </w:r>
      <w:r w:rsidR="00755935" w:rsidRPr="000D406A">
        <w:rPr>
          <w:rFonts w:hint="cs"/>
          <w:sz w:val="26"/>
          <w:rtl/>
        </w:rPr>
        <w:t xml:space="preserve"> על תשלום </w:t>
      </w:r>
      <w:r w:rsidR="00AA56E9" w:rsidRPr="000D406A">
        <w:rPr>
          <w:rFonts w:hint="cs"/>
          <w:sz w:val="26"/>
          <w:rtl/>
        </w:rPr>
        <w:t xml:space="preserve">המענק המיוחד, ובכלל זה </w:t>
      </w:r>
      <w:r w:rsidR="008236B5" w:rsidRPr="000D406A">
        <w:rPr>
          <w:rFonts w:hint="cs"/>
          <w:sz w:val="26"/>
          <w:rtl/>
        </w:rPr>
        <w:t xml:space="preserve">הוראות </w:t>
      </w:r>
      <w:r w:rsidR="00AA56E9" w:rsidRPr="000D406A">
        <w:rPr>
          <w:rFonts w:hint="cs"/>
          <w:sz w:val="26"/>
          <w:rtl/>
        </w:rPr>
        <w:t>לעניין חובת הניכוי</w:t>
      </w:r>
      <w:r w:rsidRPr="000D406A">
        <w:rPr>
          <w:rFonts w:hint="cs"/>
          <w:sz w:val="26"/>
          <w:rtl/>
        </w:rPr>
        <w:t xml:space="preserve"> </w:t>
      </w:r>
      <w:r w:rsidR="00AA56E9" w:rsidRPr="000D406A">
        <w:rPr>
          <w:rFonts w:hint="cs"/>
          <w:sz w:val="26"/>
          <w:rtl/>
        </w:rPr>
        <w:t>במקור בידי משלם המענק.</w:t>
      </w:r>
    </w:p>
    <w:p w:rsidR="00CB5B02" w:rsidRPr="000D406A" w:rsidRDefault="00CB5B02" w:rsidP="000D406A">
      <w:pPr>
        <w:pStyle w:val="Hesber"/>
        <w:ind w:left="360" w:firstLine="0"/>
        <w:rPr>
          <w:sz w:val="26"/>
          <w:rtl/>
        </w:rPr>
      </w:pPr>
    </w:p>
    <w:p w:rsidR="002C3FE6" w:rsidRPr="000D406A" w:rsidRDefault="0062392D" w:rsidP="000D406A">
      <w:pPr>
        <w:pStyle w:val="Hesber"/>
        <w:ind w:left="360" w:firstLine="0"/>
        <w:rPr>
          <w:sz w:val="26"/>
          <w:rtl/>
        </w:rPr>
      </w:pPr>
      <w:r w:rsidRPr="000D406A">
        <w:rPr>
          <w:rFonts w:hint="cs"/>
          <w:sz w:val="26"/>
          <w:rtl/>
        </w:rPr>
        <w:t xml:space="preserve">עקב חשיבות שירות המילואים והרצון </w:t>
      </w:r>
      <w:r w:rsidR="008236B5" w:rsidRPr="000D406A">
        <w:rPr>
          <w:rFonts w:hint="cs"/>
          <w:sz w:val="26"/>
          <w:rtl/>
        </w:rPr>
        <w:t>להקל</w:t>
      </w:r>
      <w:r w:rsidR="002C3FE6" w:rsidRPr="000D406A">
        <w:rPr>
          <w:rFonts w:hint="cs"/>
          <w:sz w:val="26"/>
          <w:rtl/>
        </w:rPr>
        <w:t xml:space="preserve"> </w:t>
      </w:r>
      <w:r w:rsidR="008236B5" w:rsidRPr="000D406A">
        <w:rPr>
          <w:rFonts w:hint="cs"/>
          <w:sz w:val="26"/>
          <w:rtl/>
        </w:rPr>
        <w:t xml:space="preserve">על </w:t>
      </w:r>
      <w:r w:rsidRPr="000D406A">
        <w:rPr>
          <w:rFonts w:hint="cs"/>
          <w:sz w:val="26"/>
          <w:rtl/>
        </w:rPr>
        <w:t>משרתי מילואים המבצעים</w:t>
      </w:r>
      <w:r w:rsidR="002C3FE6" w:rsidRPr="000D406A">
        <w:rPr>
          <w:rFonts w:hint="cs"/>
          <w:sz w:val="26"/>
          <w:rtl/>
        </w:rPr>
        <w:t xml:space="preserve"> מספר משמעותי של ימי מילואים, מוצע לתקן את </w:t>
      </w:r>
      <w:r w:rsidR="00231E64" w:rsidRPr="000D406A">
        <w:rPr>
          <w:rFonts w:hint="cs"/>
          <w:sz w:val="26"/>
          <w:rtl/>
        </w:rPr>
        <w:t>חוק שירות מילואים</w:t>
      </w:r>
      <w:r w:rsidR="002C3FE6" w:rsidRPr="000D406A">
        <w:rPr>
          <w:rFonts w:hint="cs"/>
          <w:sz w:val="26"/>
          <w:rtl/>
        </w:rPr>
        <w:t xml:space="preserve"> כך </w:t>
      </w:r>
      <w:r w:rsidR="009061BC" w:rsidRPr="000D406A">
        <w:rPr>
          <w:rFonts w:hint="cs"/>
          <w:sz w:val="26"/>
          <w:rtl/>
        </w:rPr>
        <w:t>שמ</w:t>
      </w:r>
      <w:r w:rsidR="002C3FE6" w:rsidRPr="000D406A">
        <w:rPr>
          <w:rFonts w:hint="cs"/>
          <w:sz w:val="26"/>
          <w:rtl/>
        </w:rPr>
        <w:t xml:space="preserve">שרתי המילואים הזכאים לתגמול </w:t>
      </w:r>
      <w:r w:rsidR="00000365" w:rsidRPr="000D406A">
        <w:rPr>
          <w:rFonts w:hint="cs"/>
          <w:sz w:val="26"/>
          <w:rtl/>
        </w:rPr>
        <w:t>ה</w:t>
      </w:r>
      <w:r w:rsidR="002C3FE6" w:rsidRPr="000D406A">
        <w:rPr>
          <w:rFonts w:hint="cs"/>
          <w:sz w:val="26"/>
          <w:rtl/>
        </w:rPr>
        <w:t xml:space="preserve">מיוחד בהתאם לחוק, לא יהיו חייבים בתשלום מס </w:t>
      </w:r>
      <w:r w:rsidR="008236B5" w:rsidRPr="000D406A">
        <w:rPr>
          <w:rFonts w:hint="cs"/>
          <w:sz w:val="26"/>
          <w:rtl/>
        </w:rPr>
        <w:t xml:space="preserve">הכנסה </w:t>
      </w:r>
      <w:r w:rsidR="002C3FE6" w:rsidRPr="000D406A">
        <w:rPr>
          <w:rFonts w:hint="cs"/>
          <w:sz w:val="26"/>
          <w:rtl/>
        </w:rPr>
        <w:t xml:space="preserve">בגין התגמול המיוחד. </w:t>
      </w:r>
    </w:p>
    <w:p w:rsidR="00CB5B02" w:rsidRPr="000D406A" w:rsidRDefault="00CB5B02" w:rsidP="000D406A">
      <w:pPr>
        <w:pStyle w:val="Hesber"/>
        <w:ind w:left="360" w:firstLine="0"/>
        <w:rPr>
          <w:sz w:val="26"/>
          <w:rtl/>
        </w:rPr>
      </w:pPr>
    </w:p>
    <w:p w:rsidR="00AA56E9" w:rsidRPr="000D406A" w:rsidRDefault="002C3FE6" w:rsidP="000D406A">
      <w:pPr>
        <w:pStyle w:val="Hesber"/>
        <w:ind w:left="360" w:firstLine="0"/>
        <w:rPr>
          <w:sz w:val="26"/>
          <w:rtl/>
        </w:rPr>
      </w:pPr>
      <w:r w:rsidRPr="000D406A">
        <w:rPr>
          <w:rFonts w:hint="cs"/>
          <w:sz w:val="26"/>
          <w:rtl/>
        </w:rPr>
        <w:t xml:space="preserve">צעד זה מבטא הוקרה של המדינה בפועלם של משרתי מילואים אלה, </w:t>
      </w:r>
      <w:r w:rsidR="0046008B" w:rsidRPr="000D406A">
        <w:rPr>
          <w:rFonts w:hint="cs"/>
          <w:sz w:val="26"/>
          <w:rtl/>
        </w:rPr>
        <w:t xml:space="preserve">מקל עליהם ועל משפחותיהם </w:t>
      </w:r>
      <w:r w:rsidRPr="000D406A">
        <w:rPr>
          <w:rFonts w:hint="cs"/>
          <w:sz w:val="26"/>
          <w:rtl/>
        </w:rPr>
        <w:t xml:space="preserve">ומסייע במהלך הכולל של הגברת המוטיבציה לשירות מילואים משמעותי. </w:t>
      </w:r>
    </w:p>
    <w:p w:rsidR="00FF086B" w:rsidRPr="000D406A" w:rsidRDefault="0062392D" w:rsidP="000D406A">
      <w:pPr>
        <w:pStyle w:val="Hesber"/>
        <w:ind w:left="360" w:firstLine="0"/>
        <w:rPr>
          <w:sz w:val="26"/>
          <w:rtl/>
        </w:rPr>
      </w:pPr>
      <w:r w:rsidRPr="000D406A">
        <w:rPr>
          <w:sz w:val="26"/>
          <w:rtl/>
        </w:rPr>
        <w:tab/>
      </w:r>
    </w:p>
    <w:p w:rsidR="00FF086B" w:rsidRPr="000D406A" w:rsidRDefault="00FF086B" w:rsidP="000D406A">
      <w:pPr>
        <w:pStyle w:val="Hesber"/>
        <w:ind w:left="360" w:firstLine="0"/>
        <w:rPr>
          <w:b/>
          <w:bCs/>
          <w:sz w:val="26"/>
          <w:rtl/>
        </w:rPr>
      </w:pPr>
      <w:r w:rsidRPr="000D406A">
        <w:rPr>
          <w:rFonts w:hint="cs"/>
          <w:b/>
          <w:bCs/>
          <w:sz w:val="26"/>
          <w:rtl/>
        </w:rPr>
        <w:t>לסעיף 4</w:t>
      </w:r>
    </w:p>
    <w:p w:rsidR="00FF086B" w:rsidRPr="000D406A" w:rsidRDefault="00FF086B" w:rsidP="000D406A">
      <w:pPr>
        <w:pStyle w:val="Hesber"/>
        <w:ind w:left="360" w:firstLine="0"/>
        <w:rPr>
          <w:b/>
          <w:bCs/>
          <w:sz w:val="26"/>
          <w:rtl/>
        </w:rPr>
      </w:pPr>
      <w:r w:rsidRPr="000D406A">
        <w:rPr>
          <w:rFonts w:hint="cs"/>
          <w:b/>
          <w:bCs/>
          <w:sz w:val="26"/>
          <w:rtl/>
        </w:rPr>
        <w:t>לפסקה (1)</w:t>
      </w:r>
    </w:p>
    <w:p w:rsidR="000F7970" w:rsidRPr="000D406A" w:rsidRDefault="000F7970" w:rsidP="000D406A">
      <w:pPr>
        <w:pStyle w:val="Hesber"/>
        <w:ind w:left="360" w:firstLine="0"/>
        <w:rPr>
          <w:sz w:val="26"/>
          <w:rtl/>
        </w:rPr>
      </w:pPr>
    </w:p>
    <w:p w:rsidR="00FF086B" w:rsidRPr="000D406A" w:rsidRDefault="00FF086B" w:rsidP="000D406A">
      <w:pPr>
        <w:pStyle w:val="Hesber"/>
        <w:ind w:left="360" w:firstLine="0"/>
        <w:rPr>
          <w:sz w:val="26"/>
          <w:rtl/>
        </w:rPr>
      </w:pPr>
      <w:r w:rsidRPr="000D406A">
        <w:rPr>
          <w:rFonts w:hint="cs"/>
          <w:sz w:val="26"/>
          <w:rtl/>
        </w:rPr>
        <w:t xml:space="preserve">בהמשך להחלטת </w:t>
      </w:r>
      <w:r w:rsidR="00CB5B02" w:rsidRPr="000D406A">
        <w:rPr>
          <w:rFonts w:hint="cs"/>
          <w:sz w:val="26"/>
          <w:rtl/>
        </w:rPr>
        <w:t>ה</w:t>
      </w:r>
      <w:r w:rsidRPr="000D406A">
        <w:rPr>
          <w:rFonts w:hint="cs"/>
          <w:sz w:val="26"/>
          <w:rtl/>
        </w:rPr>
        <w:t xml:space="preserve">ממשלה מס' 2588 מיום </w:t>
      </w:r>
      <w:r w:rsidR="00CB5B02" w:rsidRPr="000D406A">
        <w:rPr>
          <w:rFonts w:hint="cs"/>
          <w:sz w:val="26"/>
          <w:rtl/>
        </w:rPr>
        <w:t xml:space="preserve">2 באפריל 2017 (להלן </w:t>
      </w:r>
      <w:r w:rsidR="00CB5B02" w:rsidRPr="000D406A">
        <w:rPr>
          <w:sz w:val="26"/>
          <w:rtl/>
        </w:rPr>
        <w:t>–</w:t>
      </w:r>
      <w:r w:rsidR="00CB5B02" w:rsidRPr="000D406A">
        <w:rPr>
          <w:rFonts w:hint="cs"/>
          <w:sz w:val="26"/>
          <w:rtl/>
        </w:rPr>
        <w:t xml:space="preserve"> </w:t>
      </w:r>
      <w:r w:rsidR="00CB5B02" w:rsidRPr="000D406A">
        <w:rPr>
          <w:rFonts w:hint="cs"/>
          <w:b/>
          <w:bCs/>
          <w:sz w:val="26"/>
          <w:rtl/>
        </w:rPr>
        <w:t>החלטה 2588</w:t>
      </w:r>
      <w:r w:rsidR="00CB5B02" w:rsidRPr="000D406A">
        <w:rPr>
          <w:rFonts w:hint="cs"/>
          <w:sz w:val="26"/>
          <w:rtl/>
        </w:rPr>
        <w:t>)</w:t>
      </w:r>
      <w:r w:rsidRPr="000D406A">
        <w:rPr>
          <w:rFonts w:hint="cs"/>
          <w:sz w:val="26"/>
          <w:rtl/>
        </w:rPr>
        <w:t xml:space="preserve"> לפעול לצמצום מספרן של תקנות החובה שטרם הותקנו, מוצע לבטל את סעיף 14(ד) לפקודת מס הכנסה.</w:t>
      </w:r>
    </w:p>
    <w:p w:rsidR="00CB5B02" w:rsidRPr="000D406A" w:rsidRDefault="00CB5B02" w:rsidP="000D406A">
      <w:pPr>
        <w:pStyle w:val="Hesber"/>
        <w:ind w:left="360" w:firstLine="0"/>
        <w:rPr>
          <w:sz w:val="26"/>
          <w:rtl/>
        </w:rPr>
      </w:pPr>
    </w:p>
    <w:p w:rsidR="00FF086B" w:rsidRPr="000D406A" w:rsidRDefault="00FF086B" w:rsidP="000D406A">
      <w:pPr>
        <w:pStyle w:val="Hesber"/>
        <w:ind w:left="360" w:firstLine="0"/>
        <w:rPr>
          <w:sz w:val="26"/>
          <w:rtl/>
        </w:rPr>
      </w:pPr>
      <w:r w:rsidRPr="000D406A">
        <w:rPr>
          <w:sz w:val="26"/>
          <w:rtl/>
        </w:rPr>
        <w:t>ב</w:t>
      </w:r>
      <w:r w:rsidR="00CB5B02" w:rsidRPr="000D406A">
        <w:rPr>
          <w:rFonts w:hint="cs"/>
          <w:sz w:val="26"/>
          <w:rtl/>
        </w:rPr>
        <w:t xml:space="preserve">יום </w:t>
      </w:r>
      <w:r w:rsidRPr="000D406A">
        <w:rPr>
          <w:sz w:val="26"/>
          <w:rtl/>
        </w:rPr>
        <w:t>16 בספטמבר 2008 פורסם תיקון מס' 168 לפקודת מס הכנסה</w:t>
      </w:r>
      <w:r w:rsidRPr="000D406A">
        <w:rPr>
          <w:rFonts w:hint="cs"/>
          <w:sz w:val="26"/>
          <w:rtl/>
        </w:rPr>
        <w:t>, לפיו</w:t>
      </w:r>
      <w:r w:rsidRPr="000D406A">
        <w:rPr>
          <w:sz w:val="26"/>
          <w:rtl/>
        </w:rPr>
        <w:t xml:space="preserve"> ניתן לעול</w:t>
      </w:r>
      <w:r w:rsidRPr="000D406A">
        <w:rPr>
          <w:rFonts w:hint="cs"/>
          <w:sz w:val="26"/>
          <w:rtl/>
        </w:rPr>
        <w:t>ה חדש</w:t>
      </w:r>
      <w:r w:rsidRPr="000D406A">
        <w:rPr>
          <w:sz w:val="26"/>
          <w:rtl/>
        </w:rPr>
        <w:t xml:space="preserve"> ולתושב חוזר ותיק פטור ממס במשך עשר שנים מהמועד שבו היו לתושבי ישראל, על הכנסותיהם מכל המקורות המנויים בסעיפים 2, 2א ו-3 לפקוד</w:t>
      </w:r>
      <w:r w:rsidRPr="000D406A">
        <w:rPr>
          <w:rFonts w:hint="cs"/>
          <w:sz w:val="26"/>
          <w:rtl/>
        </w:rPr>
        <w:t>ה</w:t>
      </w:r>
      <w:r w:rsidRPr="000D406A">
        <w:rPr>
          <w:sz w:val="26"/>
          <w:rtl/>
        </w:rPr>
        <w:t xml:space="preserve"> שהופקו או שנצמחו מחוץ לישראל, או שמקורן בנכסים מחוץ לישראל</w:t>
      </w:r>
      <w:r w:rsidRPr="000D406A">
        <w:rPr>
          <w:rFonts w:hint="cs"/>
          <w:sz w:val="26"/>
          <w:rtl/>
        </w:rPr>
        <w:t>.</w:t>
      </w:r>
    </w:p>
    <w:p w:rsidR="00CB5B02" w:rsidRPr="000D406A" w:rsidRDefault="00CB5B02" w:rsidP="000D406A">
      <w:pPr>
        <w:pStyle w:val="Hesber"/>
        <w:ind w:left="360" w:firstLine="0"/>
        <w:rPr>
          <w:sz w:val="26"/>
          <w:rtl/>
        </w:rPr>
      </w:pPr>
    </w:p>
    <w:p w:rsidR="00FF086B" w:rsidRPr="000D406A" w:rsidRDefault="00FF086B" w:rsidP="000D406A">
      <w:pPr>
        <w:pStyle w:val="Hesber"/>
        <w:ind w:left="360" w:firstLine="0"/>
        <w:rPr>
          <w:sz w:val="26"/>
          <w:rtl/>
        </w:rPr>
      </w:pPr>
      <w:r w:rsidRPr="000D406A">
        <w:rPr>
          <w:rFonts w:hint="cs"/>
          <w:sz w:val="26"/>
          <w:rtl/>
        </w:rPr>
        <w:t>ב</w:t>
      </w:r>
      <w:r w:rsidR="00CB5B02" w:rsidRPr="000D406A">
        <w:rPr>
          <w:rFonts w:hint="cs"/>
          <w:sz w:val="26"/>
          <w:rtl/>
        </w:rPr>
        <w:t xml:space="preserve">יום </w:t>
      </w:r>
      <w:r w:rsidRPr="000D406A">
        <w:rPr>
          <w:rFonts w:hint="cs"/>
          <w:sz w:val="26"/>
          <w:rtl/>
        </w:rPr>
        <w:t xml:space="preserve">23 ביולי 2009 פורסם תיקון מס' 171 לפקודה, </w:t>
      </w:r>
      <w:r w:rsidR="00CB5B02" w:rsidRPr="000D406A">
        <w:rPr>
          <w:rFonts w:hint="cs"/>
          <w:sz w:val="26"/>
          <w:rtl/>
        </w:rPr>
        <w:t xml:space="preserve">שבו נקבע, בין היתר, סעיף 14(ד) לפקודת מס הכנסה. בסעיף האמור </w:t>
      </w:r>
      <w:r w:rsidRPr="000D406A">
        <w:rPr>
          <w:rFonts w:hint="cs"/>
          <w:sz w:val="26"/>
          <w:rtl/>
        </w:rPr>
        <w:t xml:space="preserve">הוסמך שר האוצר להאריך תקופות לעניין הפטור שניתן לפי סעיף 14 במקרים </w:t>
      </w:r>
      <w:r w:rsidRPr="000D406A">
        <w:rPr>
          <w:rFonts w:hint="cs"/>
          <w:sz w:val="26"/>
          <w:rtl/>
        </w:rPr>
        <w:lastRenderedPageBreak/>
        <w:t xml:space="preserve">מסוימים. עוד נקבע בתיקון 171 כי תקנות ראשונות לפי סעיף 14(ד) </w:t>
      </w:r>
      <w:r w:rsidR="00CB5B02" w:rsidRPr="000D406A">
        <w:rPr>
          <w:rFonts w:hint="cs"/>
          <w:sz w:val="26"/>
          <w:rtl/>
        </w:rPr>
        <w:t xml:space="preserve">לפקודת מס הכנסה </w:t>
      </w:r>
      <w:r w:rsidRPr="000D406A">
        <w:rPr>
          <w:rFonts w:hint="cs"/>
          <w:sz w:val="26"/>
          <w:rtl/>
        </w:rPr>
        <w:t xml:space="preserve">יובאו לאישור ועדת הכספים של הכנסת בתוך שישה חודשים מיום פרסומו של </w:t>
      </w:r>
      <w:r w:rsidR="00CB5B02" w:rsidRPr="000D406A">
        <w:rPr>
          <w:rFonts w:hint="cs"/>
          <w:sz w:val="26"/>
          <w:rtl/>
        </w:rPr>
        <w:t>חוק ההתייעלות הכלכלית (תיקוני חקיקה ליישום התכנית הכלכלית לשנים 2009 ו-2010), התשס"ט-2009</w:t>
      </w:r>
      <w:r w:rsidRPr="000D406A">
        <w:rPr>
          <w:rFonts w:hint="cs"/>
          <w:sz w:val="26"/>
          <w:rtl/>
        </w:rPr>
        <w:t>.</w:t>
      </w:r>
    </w:p>
    <w:p w:rsidR="00CB5B02" w:rsidRPr="000D406A" w:rsidRDefault="00CB5B02" w:rsidP="000D406A">
      <w:pPr>
        <w:pStyle w:val="Hesber"/>
        <w:ind w:left="360" w:firstLine="0"/>
        <w:rPr>
          <w:sz w:val="26"/>
          <w:rtl/>
        </w:rPr>
      </w:pPr>
    </w:p>
    <w:p w:rsidR="00FF086B" w:rsidRPr="000D406A" w:rsidRDefault="00FF086B" w:rsidP="000D406A">
      <w:pPr>
        <w:pStyle w:val="Hesber"/>
        <w:ind w:left="360" w:firstLine="0"/>
        <w:rPr>
          <w:sz w:val="26"/>
          <w:rtl/>
        </w:rPr>
      </w:pPr>
      <w:r w:rsidRPr="000D406A">
        <w:rPr>
          <w:rFonts w:hint="cs"/>
          <w:sz w:val="26"/>
          <w:rtl/>
        </w:rPr>
        <w:t>עד היום לא הותקנו תקנות לפי סעיף זה ואין כוונה להתקינן, בשל הרצון להימנע מהרחבת הפט</w:t>
      </w:r>
      <w:r w:rsidR="00CB5B02" w:rsidRPr="000D406A">
        <w:rPr>
          <w:rFonts w:hint="cs"/>
          <w:sz w:val="26"/>
          <w:rtl/>
        </w:rPr>
        <w:t>ור. לפיכך ובהתאם לסעיף 3 בהחלטה</w:t>
      </w:r>
      <w:r w:rsidRPr="000D406A">
        <w:rPr>
          <w:rFonts w:hint="cs"/>
          <w:sz w:val="26"/>
          <w:rtl/>
        </w:rPr>
        <w:t xml:space="preserve"> 2588 מוצע לבטל את סעיף 14(ד)</w:t>
      </w:r>
      <w:r w:rsidR="00CB5B02" w:rsidRPr="000D406A">
        <w:rPr>
          <w:rFonts w:hint="cs"/>
          <w:sz w:val="26"/>
          <w:rtl/>
        </w:rPr>
        <w:t xml:space="preserve"> לפקודת מס הכנסה</w:t>
      </w:r>
      <w:r w:rsidRPr="000D406A">
        <w:rPr>
          <w:rFonts w:hint="cs"/>
          <w:sz w:val="26"/>
          <w:rtl/>
        </w:rPr>
        <w:t>.</w:t>
      </w:r>
    </w:p>
    <w:p w:rsidR="00FF086B" w:rsidRPr="000D406A" w:rsidRDefault="00FF086B" w:rsidP="000D406A">
      <w:pPr>
        <w:pStyle w:val="Hesber"/>
        <w:ind w:left="360" w:firstLine="0"/>
        <w:rPr>
          <w:sz w:val="26"/>
          <w:rtl/>
        </w:rPr>
      </w:pPr>
    </w:p>
    <w:p w:rsidR="00FF086B" w:rsidRPr="000D406A" w:rsidRDefault="00FF086B" w:rsidP="000D406A">
      <w:pPr>
        <w:pStyle w:val="Hesber"/>
        <w:ind w:left="360" w:firstLine="0"/>
        <w:rPr>
          <w:b/>
          <w:bCs/>
          <w:sz w:val="26"/>
          <w:rtl/>
        </w:rPr>
      </w:pPr>
      <w:r w:rsidRPr="000D406A">
        <w:rPr>
          <w:rFonts w:hint="cs"/>
          <w:b/>
          <w:bCs/>
          <w:sz w:val="26"/>
          <w:rtl/>
        </w:rPr>
        <w:t>לפסקאות (2)</w:t>
      </w:r>
      <w:r w:rsidR="000F7970" w:rsidRPr="000D406A">
        <w:rPr>
          <w:rFonts w:hint="cs"/>
          <w:b/>
          <w:bCs/>
          <w:sz w:val="26"/>
          <w:rtl/>
        </w:rPr>
        <w:t xml:space="preserve"> ו-</w:t>
      </w:r>
      <w:r w:rsidRPr="000D406A">
        <w:rPr>
          <w:rFonts w:hint="cs"/>
          <w:b/>
          <w:bCs/>
          <w:sz w:val="26"/>
          <w:rtl/>
        </w:rPr>
        <w:t>(3)</w:t>
      </w:r>
    </w:p>
    <w:p w:rsidR="00FF086B" w:rsidRPr="000D406A" w:rsidRDefault="00FF086B" w:rsidP="000D406A">
      <w:pPr>
        <w:pStyle w:val="Hesber"/>
        <w:ind w:left="360" w:firstLine="0"/>
        <w:rPr>
          <w:sz w:val="26"/>
          <w:rtl/>
        </w:rPr>
      </w:pPr>
    </w:p>
    <w:p w:rsidR="00FF086B" w:rsidRPr="000D406A" w:rsidRDefault="00CB5B02" w:rsidP="000D406A">
      <w:pPr>
        <w:pStyle w:val="Hesber"/>
        <w:ind w:left="360" w:firstLine="0"/>
        <w:rPr>
          <w:sz w:val="26"/>
          <w:rtl/>
        </w:rPr>
      </w:pPr>
      <w:r w:rsidRPr="000D406A">
        <w:rPr>
          <w:rFonts w:hint="cs"/>
          <w:sz w:val="26"/>
          <w:rtl/>
        </w:rPr>
        <w:t>לפי</w:t>
      </w:r>
      <w:r w:rsidR="00FF086B" w:rsidRPr="000D406A">
        <w:rPr>
          <w:rFonts w:hint="cs"/>
          <w:sz w:val="26"/>
          <w:rtl/>
        </w:rPr>
        <w:t xml:space="preserve"> סעיף 187(ג)(1) לפקודה</w:t>
      </w:r>
      <w:r w:rsidRPr="000D406A">
        <w:rPr>
          <w:rFonts w:hint="cs"/>
          <w:sz w:val="26"/>
          <w:rtl/>
        </w:rPr>
        <w:t xml:space="preserve"> מס הכנסה</w:t>
      </w:r>
      <w:r w:rsidR="00FF086B" w:rsidRPr="000D406A">
        <w:rPr>
          <w:rFonts w:hint="cs"/>
          <w:sz w:val="26"/>
          <w:rtl/>
        </w:rPr>
        <w:t xml:space="preserve"> על סכומי מס שלא נוכו או שנוכו ולא הועברו במועד לפקיד השומה, </w:t>
      </w:r>
      <w:r w:rsidR="00EF6C92" w:rsidRPr="000D406A">
        <w:rPr>
          <w:rFonts w:hint="cs"/>
          <w:sz w:val="26"/>
          <w:rtl/>
        </w:rPr>
        <w:t>ייווספ</w:t>
      </w:r>
      <w:r w:rsidR="00EF6C92" w:rsidRPr="000D406A">
        <w:rPr>
          <w:rFonts w:hint="eastAsia"/>
          <w:sz w:val="26"/>
          <w:rtl/>
        </w:rPr>
        <w:t>ו</w:t>
      </w:r>
      <w:r w:rsidR="00FF086B" w:rsidRPr="000D406A">
        <w:rPr>
          <w:rFonts w:hint="cs"/>
          <w:sz w:val="26"/>
          <w:rtl/>
        </w:rPr>
        <w:t xml:space="preserve"> הפרשי הצמדה וריבית מהיום ה-14 בחודש שבו היה המס אמור להשתלם לפקיד השומה ועד מועד התשלום בפועל. </w:t>
      </w:r>
    </w:p>
    <w:p w:rsidR="00CB5B02" w:rsidRPr="000D406A" w:rsidRDefault="00CB5B02" w:rsidP="000D406A">
      <w:pPr>
        <w:pStyle w:val="Hesber"/>
        <w:ind w:left="360" w:firstLine="0"/>
        <w:rPr>
          <w:sz w:val="26"/>
          <w:rtl/>
        </w:rPr>
      </w:pPr>
    </w:p>
    <w:p w:rsidR="00FF086B" w:rsidRPr="000D406A" w:rsidRDefault="00FF086B" w:rsidP="000D406A">
      <w:pPr>
        <w:pStyle w:val="Hesber"/>
        <w:ind w:left="360" w:firstLine="0"/>
        <w:rPr>
          <w:sz w:val="26"/>
          <w:rtl/>
        </w:rPr>
      </w:pPr>
      <w:r w:rsidRPr="000D406A">
        <w:rPr>
          <w:rFonts w:hint="cs"/>
          <w:sz w:val="26"/>
          <w:rtl/>
        </w:rPr>
        <w:t xml:space="preserve">מדד המחירים לצרכן שמפרסמת הלשכה המרכזית לסטטיסטיקה משמש לצורך מידוד הסכום בסעיף האמור, ומתפרסם ב- 15 בכל חודש. בהתאם לתקנות שהותקנו מכוח הפקודה, מועד העברת התשלום והגשת הדוח בגין סכומי המס שנוכו לפקיד השומה היה עד לאחרונה גם הוא ב- 15 בחודש. כך יצא שבמידה והמנכה מאחר בתשלום, ולו ביום אחד בלבד, הרי שהמדד שמפורסם ב- 15 בחודש יילקח גם הוא בחשבון בקביעת סכום הפרשי ההצמדה שיוסף לסכום המס שעל המנכה לשלם. </w:t>
      </w:r>
    </w:p>
    <w:p w:rsidR="00CB5B02" w:rsidRPr="000D406A" w:rsidRDefault="00CB5B02" w:rsidP="000D406A">
      <w:pPr>
        <w:pStyle w:val="Hesber"/>
        <w:ind w:left="360" w:firstLine="0"/>
        <w:rPr>
          <w:sz w:val="26"/>
          <w:rtl/>
        </w:rPr>
      </w:pPr>
    </w:p>
    <w:p w:rsidR="000D406A" w:rsidRPr="00FF086B" w:rsidRDefault="000D406A" w:rsidP="000D406A">
      <w:pPr>
        <w:pStyle w:val="Hesber"/>
        <w:ind w:left="360" w:firstLine="0"/>
        <w:rPr>
          <w:sz w:val="26"/>
          <w:rtl/>
        </w:rPr>
      </w:pPr>
      <w:r w:rsidRPr="00FF086B">
        <w:rPr>
          <w:rFonts w:hint="cs"/>
          <w:sz w:val="26"/>
          <w:rtl/>
        </w:rPr>
        <w:t>לאחרונה עודכנו בתקנות</w:t>
      </w:r>
      <w:r>
        <w:rPr>
          <w:rFonts w:hint="cs"/>
          <w:sz w:val="26"/>
          <w:rtl/>
        </w:rPr>
        <w:t xml:space="preserve"> מס הכנסה</w:t>
      </w:r>
      <w:r w:rsidRPr="00FF086B">
        <w:rPr>
          <w:rFonts w:hint="cs"/>
          <w:sz w:val="26"/>
          <w:rtl/>
        </w:rPr>
        <w:t xml:space="preserve"> מועדי התשלום ב</w:t>
      </w:r>
      <w:r>
        <w:rPr>
          <w:rFonts w:hint="cs"/>
          <w:sz w:val="26"/>
          <w:rtl/>
        </w:rPr>
        <w:t xml:space="preserve">כלל </w:t>
      </w:r>
      <w:r w:rsidRPr="00FF086B">
        <w:rPr>
          <w:rFonts w:hint="cs"/>
          <w:sz w:val="26"/>
          <w:rtl/>
        </w:rPr>
        <w:t xml:space="preserve">מערך הניכויים ל </w:t>
      </w:r>
      <w:r w:rsidRPr="00FF086B">
        <w:rPr>
          <w:sz w:val="26"/>
          <w:rtl/>
        </w:rPr>
        <w:t>–</w:t>
      </w:r>
      <w:r w:rsidRPr="00FF086B">
        <w:rPr>
          <w:rFonts w:hint="cs"/>
          <w:sz w:val="26"/>
          <w:rtl/>
        </w:rPr>
        <w:t xml:space="preserve"> 16 בכל חודש </w:t>
      </w:r>
      <w:r>
        <w:rPr>
          <w:rFonts w:hint="cs"/>
          <w:sz w:val="26"/>
          <w:rtl/>
        </w:rPr>
        <w:t xml:space="preserve">(ראו קובץ התקנות 7907, אשר פורסם ביום 27 בדצמבר 2017). </w:t>
      </w:r>
      <w:r w:rsidRPr="00FF086B">
        <w:rPr>
          <w:rFonts w:hint="cs"/>
          <w:sz w:val="26"/>
          <w:rtl/>
        </w:rPr>
        <w:t xml:space="preserve">מוצע לדחות במקביל את מועד תחילת התקופה לעניין חישוב הפרשי הצמדה </w:t>
      </w:r>
      <w:r>
        <w:rPr>
          <w:rFonts w:hint="cs"/>
          <w:sz w:val="26"/>
          <w:rtl/>
        </w:rPr>
        <w:t>וריבית</w:t>
      </w:r>
      <w:r w:rsidRPr="00FF086B">
        <w:rPr>
          <w:rFonts w:hint="cs"/>
          <w:sz w:val="26"/>
          <w:rtl/>
        </w:rPr>
        <w:t>, ליום אחד לאחר פרסום המדד, ה-16 בחודש.</w:t>
      </w:r>
    </w:p>
    <w:p w:rsidR="000D406A" w:rsidRPr="000D406A" w:rsidRDefault="000D406A" w:rsidP="000D406A">
      <w:pPr>
        <w:pStyle w:val="Hesber"/>
        <w:ind w:firstLine="0"/>
        <w:rPr>
          <w:sz w:val="26"/>
          <w:rtl/>
        </w:rPr>
      </w:pPr>
    </w:p>
    <w:p w:rsidR="00FF086B" w:rsidRPr="000D406A" w:rsidRDefault="00FF086B" w:rsidP="000D406A">
      <w:pPr>
        <w:pStyle w:val="Hesber"/>
        <w:ind w:left="360" w:firstLine="0"/>
        <w:rPr>
          <w:sz w:val="26"/>
          <w:rtl/>
        </w:rPr>
      </w:pPr>
      <w:r w:rsidRPr="000D406A">
        <w:rPr>
          <w:rFonts w:hint="cs"/>
          <w:sz w:val="26"/>
          <w:rtl/>
        </w:rPr>
        <w:t>בנוסף</w:t>
      </w:r>
      <w:r w:rsidR="00CB5B02" w:rsidRPr="000D406A">
        <w:rPr>
          <w:rFonts w:hint="cs"/>
          <w:sz w:val="26"/>
          <w:rtl/>
        </w:rPr>
        <w:t>,</w:t>
      </w:r>
      <w:r w:rsidRPr="000D406A">
        <w:rPr>
          <w:rFonts w:hint="cs"/>
          <w:sz w:val="26"/>
          <w:rtl/>
        </w:rPr>
        <w:t xml:space="preserve"> מוצע לתקן את סעיף 171 לפקודת מס הכנסה, על מנת לקבוע כי מועד התשלום והדיווח יהיה כפי שנקבע בתקנות</w:t>
      </w:r>
      <w:r w:rsidR="006C15BA" w:rsidRPr="000D406A">
        <w:rPr>
          <w:rFonts w:hint="cs"/>
          <w:sz w:val="26"/>
          <w:rtl/>
        </w:rPr>
        <w:t>.</w:t>
      </w:r>
    </w:p>
    <w:p w:rsidR="000D406A" w:rsidRDefault="000D406A" w:rsidP="000D406A">
      <w:pPr>
        <w:pStyle w:val="Hesber"/>
        <w:ind w:left="360" w:firstLine="0"/>
        <w:rPr>
          <w:b/>
          <w:bCs/>
          <w:sz w:val="26"/>
          <w:rtl/>
        </w:rPr>
      </w:pPr>
    </w:p>
    <w:p w:rsidR="000D406A" w:rsidRDefault="00FF086B" w:rsidP="000D406A">
      <w:pPr>
        <w:pStyle w:val="Hesber"/>
        <w:ind w:left="360" w:firstLine="0"/>
        <w:rPr>
          <w:b/>
          <w:bCs/>
          <w:sz w:val="26"/>
          <w:rtl/>
        </w:rPr>
      </w:pPr>
      <w:r w:rsidRPr="000D406A">
        <w:rPr>
          <w:rFonts w:hint="cs"/>
          <w:b/>
          <w:bCs/>
          <w:sz w:val="26"/>
          <w:rtl/>
        </w:rPr>
        <w:t>לסעיף 5</w:t>
      </w:r>
    </w:p>
    <w:p w:rsidR="000D406A" w:rsidRDefault="000D406A" w:rsidP="000D406A">
      <w:pPr>
        <w:pStyle w:val="Hesber"/>
        <w:ind w:left="360" w:firstLine="0"/>
        <w:rPr>
          <w:b/>
          <w:bCs/>
          <w:sz w:val="26"/>
          <w:rtl/>
        </w:rPr>
      </w:pPr>
    </w:p>
    <w:p w:rsidR="00435C87" w:rsidRPr="000D406A" w:rsidRDefault="00435C87" w:rsidP="000D406A">
      <w:pPr>
        <w:pStyle w:val="Hesber"/>
        <w:ind w:left="360" w:firstLine="0"/>
        <w:rPr>
          <w:sz w:val="26"/>
          <w:rtl/>
        </w:rPr>
      </w:pPr>
      <w:r w:rsidRPr="000D406A">
        <w:rPr>
          <w:rFonts w:hint="cs"/>
          <w:sz w:val="26"/>
          <w:rtl/>
        </w:rPr>
        <w:t xml:space="preserve">מוצע </w:t>
      </w:r>
      <w:r w:rsidRPr="000D406A">
        <w:rPr>
          <w:sz w:val="26"/>
          <w:rtl/>
        </w:rPr>
        <w:t>לתקן בחוק מיסוי מקרקעין</w:t>
      </w:r>
      <w:r w:rsidR="00CB5B02" w:rsidRPr="000D406A">
        <w:rPr>
          <w:rFonts w:hint="cs"/>
          <w:b/>
          <w:bCs/>
          <w:sz w:val="26"/>
          <w:rtl/>
        </w:rPr>
        <w:t xml:space="preserve"> </w:t>
      </w:r>
      <w:r w:rsidR="00CB5B02" w:rsidRPr="000D406A">
        <w:rPr>
          <w:rFonts w:hint="cs"/>
          <w:sz w:val="26"/>
          <w:rtl/>
        </w:rPr>
        <w:t xml:space="preserve">(שבח ורכישה), התשכ"ג-1963, </w:t>
      </w:r>
      <w:r w:rsidRPr="000D406A">
        <w:rPr>
          <w:sz w:val="26"/>
          <w:rtl/>
        </w:rPr>
        <w:t xml:space="preserve"> את פרק חמישי 4: פינוי ובינוי, ואת פרק חמישי 5: פטור במכירת זכות במקרקעין שתמורתה מושפעת מזכויות בניה לפי תמ"א 38, כך שבתקופה שבין חתימה של דיירים על חוזה שיש בו תנאי מתלה עם יזם, ועד מועד התקיימות התנאי המתלה, היזם יוכל לסחר את הזכויות שקנה מהדיירים ליזם אחר, בלא שישולם מס רכישה על שווי </w:t>
      </w:r>
      <w:r w:rsidRPr="000D406A">
        <w:rPr>
          <w:rFonts w:hint="cs"/>
          <w:sz w:val="26"/>
          <w:rtl/>
        </w:rPr>
        <w:t>התחייבויותיו של היזם המוכר לדיירים שהיזם הרוכש לו</w:t>
      </w:r>
      <w:r w:rsidR="00100529" w:rsidRPr="000D406A">
        <w:rPr>
          <w:rFonts w:hint="cs"/>
          <w:sz w:val="26"/>
          <w:rtl/>
        </w:rPr>
        <w:t xml:space="preserve">קח על עצמו במסגרת העברת הזכויות. במצב זה </w:t>
      </w:r>
      <w:r w:rsidRPr="000D406A">
        <w:rPr>
          <w:sz w:val="26"/>
          <w:rtl/>
        </w:rPr>
        <w:t>ישולם מס רכישה על ה</w:t>
      </w:r>
      <w:r w:rsidR="000D406A">
        <w:rPr>
          <w:sz w:val="26"/>
          <w:rtl/>
        </w:rPr>
        <w:t>תמורה הישירה ששולמה ליזם הראשון</w:t>
      </w:r>
      <w:r w:rsidRPr="000D406A">
        <w:rPr>
          <w:sz w:val="26"/>
          <w:rtl/>
        </w:rPr>
        <w:t>.</w:t>
      </w:r>
    </w:p>
    <w:p w:rsidR="00077E1E" w:rsidRDefault="009673E5" w:rsidP="00077E1E">
      <w:pPr>
        <w:pStyle w:val="Hesber"/>
        <w:spacing w:before="240"/>
        <w:ind w:left="340" w:firstLine="0"/>
        <w:rPr>
          <w:sz w:val="26"/>
          <w:rtl/>
        </w:rPr>
      </w:pPr>
      <w:r w:rsidRPr="000D406A">
        <w:rPr>
          <w:sz w:val="26"/>
          <w:rtl/>
        </w:rPr>
        <w:t xml:space="preserve">הפטור ממס רכישה עשוי להביא לתופעה של החתמת בעלי דירות על הסכמי פינוי-בינוי בלי שיש להם כוונה לממש את התחייבויות היזם בהסכם ורק על מנת למכור אותן בהמשך. כניסתם של גורמים מתווכים, שאינם בעלי יכולת או כוונה לממש את ההסכמים, עלולה ליצור חסמים לביצוע הפרויקט </w:t>
      </w:r>
      <w:r w:rsidRPr="000D406A">
        <w:rPr>
          <w:sz w:val="26"/>
          <w:rtl/>
        </w:rPr>
        <w:lastRenderedPageBreak/>
        <w:t xml:space="preserve">או לעכבו באופן שיפגע בבעלי הדירות ובאינטרס הציבורי להתחדשות עירונית. </w:t>
      </w:r>
    </w:p>
    <w:p w:rsidR="009673E5" w:rsidRPr="000D406A" w:rsidRDefault="009673E5" w:rsidP="00077E1E">
      <w:pPr>
        <w:pStyle w:val="Hesber"/>
        <w:spacing w:before="240"/>
        <w:ind w:left="340" w:firstLine="0"/>
        <w:rPr>
          <w:sz w:val="26"/>
          <w:rtl/>
        </w:rPr>
      </w:pPr>
      <w:r w:rsidRPr="000D406A">
        <w:rPr>
          <w:sz w:val="26"/>
          <w:rtl/>
        </w:rPr>
        <w:t>נוכח האמור, מתן פטור גורף ממס רכישה עשוי להקל בפועל על כני</w:t>
      </w:r>
      <w:r w:rsidR="00100529" w:rsidRPr="000D406A">
        <w:rPr>
          <w:sz w:val="26"/>
          <w:rtl/>
        </w:rPr>
        <w:t>סתם של גורמים מתווכים אלה לשוק</w:t>
      </w:r>
      <w:r w:rsidR="00100529" w:rsidRPr="000D406A">
        <w:rPr>
          <w:rFonts w:hint="cs"/>
          <w:sz w:val="26"/>
          <w:rtl/>
        </w:rPr>
        <w:t xml:space="preserve">. </w:t>
      </w:r>
      <w:r w:rsidRPr="000D406A">
        <w:rPr>
          <w:sz w:val="26"/>
          <w:rtl/>
        </w:rPr>
        <w:t>על כן מוצע להסמיך את שר האוצר, בהסכמת שר המשפטים, לקבוע תקנות שבהן יקבע באילו מקרים לא יינתן הפטור.</w:t>
      </w:r>
      <w:r w:rsidRPr="000D406A">
        <w:rPr>
          <w:rFonts w:hint="cs"/>
          <w:sz w:val="26"/>
          <w:rtl/>
        </w:rPr>
        <w:t xml:space="preserve"> </w:t>
      </w:r>
    </w:p>
    <w:p w:rsidR="00100529" w:rsidRPr="000D406A" w:rsidRDefault="00100529" w:rsidP="000D406A">
      <w:pPr>
        <w:pStyle w:val="Hesber1st"/>
        <w:tabs>
          <w:tab w:val="clear" w:pos="680"/>
        </w:tabs>
        <w:ind w:left="360"/>
        <w:rPr>
          <w:sz w:val="26"/>
          <w:rtl/>
        </w:rPr>
      </w:pPr>
    </w:p>
    <w:p w:rsidR="00435C87" w:rsidRPr="000D406A" w:rsidRDefault="00435C87" w:rsidP="000D406A">
      <w:pPr>
        <w:pStyle w:val="Hesber1st"/>
        <w:tabs>
          <w:tab w:val="clear" w:pos="680"/>
        </w:tabs>
        <w:ind w:left="360"/>
        <w:rPr>
          <w:sz w:val="26"/>
          <w:rtl/>
        </w:rPr>
      </w:pPr>
      <w:r w:rsidRPr="000D406A">
        <w:rPr>
          <w:rFonts w:hint="cs"/>
          <w:sz w:val="26"/>
          <w:rtl/>
        </w:rPr>
        <w:t xml:space="preserve">עוד מוצע לקבוע כי </w:t>
      </w:r>
      <w:r w:rsidR="00100529" w:rsidRPr="000D406A">
        <w:rPr>
          <w:rFonts w:hint="cs"/>
          <w:sz w:val="26"/>
          <w:rtl/>
        </w:rPr>
        <w:t xml:space="preserve">אם </w:t>
      </w:r>
      <w:r w:rsidRPr="000D406A">
        <w:rPr>
          <w:rFonts w:hint="cs"/>
          <w:sz w:val="26"/>
          <w:rtl/>
        </w:rPr>
        <w:t>בתקופה האמורה</w:t>
      </w:r>
      <w:r w:rsidR="00100529" w:rsidRPr="000D406A">
        <w:rPr>
          <w:rFonts w:hint="cs"/>
          <w:sz w:val="26"/>
          <w:rtl/>
        </w:rPr>
        <w:t xml:space="preserve"> ימכור הדייר </w:t>
      </w:r>
      <w:r w:rsidRPr="000D406A">
        <w:rPr>
          <w:rFonts w:hint="cs"/>
          <w:sz w:val="26"/>
          <w:rtl/>
        </w:rPr>
        <w:t>את הזכות לדירה חלופית שקיבל מהיזם לצד שלישי, יראו אותו כאילו מכר דירת מגורים</w:t>
      </w:r>
      <w:r w:rsidRPr="000D406A">
        <w:rPr>
          <w:sz w:val="26"/>
          <w:rtl/>
        </w:rPr>
        <w:t xml:space="preserve">.     </w:t>
      </w:r>
    </w:p>
    <w:p w:rsidR="001C190E" w:rsidRPr="000D406A" w:rsidRDefault="001C190E" w:rsidP="000D406A">
      <w:pPr>
        <w:pStyle w:val="Hesber"/>
        <w:ind w:left="360" w:firstLine="0"/>
        <w:rPr>
          <w:b/>
          <w:bCs/>
          <w:sz w:val="26"/>
          <w:rtl/>
        </w:rPr>
      </w:pPr>
    </w:p>
    <w:p w:rsidR="00435C87" w:rsidRPr="000D406A" w:rsidRDefault="00C45A18" w:rsidP="000D406A">
      <w:pPr>
        <w:pStyle w:val="Hesber"/>
        <w:ind w:left="360" w:firstLine="0"/>
        <w:rPr>
          <w:sz w:val="26"/>
        </w:rPr>
      </w:pPr>
      <w:r w:rsidRPr="000D406A">
        <w:rPr>
          <w:rFonts w:hint="cs"/>
          <w:b/>
          <w:bCs/>
          <w:sz w:val="26"/>
          <w:rtl/>
        </w:rPr>
        <w:t>לסעיף 6</w:t>
      </w:r>
    </w:p>
    <w:p w:rsidR="000E07B2" w:rsidRPr="000D406A" w:rsidRDefault="000E07B2" w:rsidP="000D406A">
      <w:pPr>
        <w:pStyle w:val="Hesber1st"/>
        <w:tabs>
          <w:tab w:val="clear" w:pos="680"/>
        </w:tabs>
        <w:ind w:left="360"/>
        <w:rPr>
          <w:sz w:val="26"/>
          <w:rtl/>
        </w:rPr>
      </w:pPr>
    </w:p>
    <w:p w:rsidR="00C45A18" w:rsidRPr="000D406A" w:rsidRDefault="00C45A18" w:rsidP="000D406A">
      <w:pPr>
        <w:pStyle w:val="Hesber1st"/>
        <w:tabs>
          <w:tab w:val="clear" w:pos="680"/>
        </w:tabs>
        <w:ind w:left="360"/>
        <w:rPr>
          <w:sz w:val="26"/>
          <w:rtl/>
        </w:rPr>
      </w:pPr>
      <w:r w:rsidRPr="000D406A">
        <w:rPr>
          <w:rFonts w:hint="cs"/>
          <w:sz w:val="26"/>
          <w:rtl/>
        </w:rPr>
        <w:t xml:space="preserve">מוצע להשוות את </w:t>
      </w:r>
      <w:r w:rsidRPr="000D406A">
        <w:rPr>
          <w:sz w:val="26"/>
          <w:rtl/>
        </w:rPr>
        <w:t xml:space="preserve">המענק לאב </w:t>
      </w:r>
      <w:r w:rsidRPr="000D406A">
        <w:rPr>
          <w:rFonts w:hint="cs"/>
          <w:sz w:val="26"/>
          <w:rtl/>
        </w:rPr>
        <w:t xml:space="preserve">עובד הקבוע בסעיף 2 לחוק להגדלת שיעור ההשתתפות בכוח העבודה ולצמצום פערים חברתיים (מענק עבודה), </w:t>
      </w:r>
      <w:r w:rsidR="00100529" w:rsidRPr="000D406A">
        <w:rPr>
          <w:rFonts w:hint="cs"/>
          <w:sz w:val="26"/>
          <w:rtl/>
        </w:rPr>
        <w:t>ה</w:t>
      </w:r>
      <w:r w:rsidRPr="000D406A">
        <w:rPr>
          <w:rFonts w:hint="cs"/>
          <w:sz w:val="26"/>
          <w:rtl/>
        </w:rPr>
        <w:t>תשס"ח-2007</w:t>
      </w:r>
      <w:r w:rsidR="00100529" w:rsidRPr="000D406A">
        <w:rPr>
          <w:rFonts w:hint="cs"/>
          <w:sz w:val="26"/>
          <w:rtl/>
        </w:rPr>
        <w:t xml:space="preserve"> (להלן </w:t>
      </w:r>
      <w:r w:rsidR="00100529" w:rsidRPr="000D406A">
        <w:rPr>
          <w:sz w:val="26"/>
          <w:rtl/>
        </w:rPr>
        <w:t>–</w:t>
      </w:r>
      <w:r w:rsidR="00100529" w:rsidRPr="000D406A">
        <w:rPr>
          <w:rFonts w:hint="cs"/>
          <w:sz w:val="26"/>
          <w:rtl/>
        </w:rPr>
        <w:t xml:space="preserve"> </w:t>
      </w:r>
      <w:r w:rsidR="00100529" w:rsidRPr="000D406A">
        <w:rPr>
          <w:rFonts w:hint="cs"/>
          <w:b/>
          <w:bCs/>
          <w:sz w:val="26"/>
          <w:rtl/>
        </w:rPr>
        <w:t>חוק מענק עבודה</w:t>
      </w:r>
      <w:r w:rsidR="00100529" w:rsidRPr="000D406A">
        <w:rPr>
          <w:rFonts w:hint="cs"/>
          <w:sz w:val="26"/>
          <w:rtl/>
        </w:rPr>
        <w:t>)</w:t>
      </w:r>
      <w:r w:rsidRPr="000D406A">
        <w:rPr>
          <w:rFonts w:hint="cs"/>
          <w:sz w:val="26"/>
          <w:rtl/>
        </w:rPr>
        <w:t xml:space="preserve">, </w:t>
      </w:r>
      <w:r w:rsidRPr="000D406A">
        <w:rPr>
          <w:sz w:val="26"/>
          <w:rtl/>
        </w:rPr>
        <w:t xml:space="preserve">לסכום המענק </w:t>
      </w:r>
      <w:r w:rsidRPr="000D406A">
        <w:rPr>
          <w:rFonts w:hint="cs"/>
          <w:sz w:val="26"/>
          <w:rtl/>
        </w:rPr>
        <w:t xml:space="preserve">המוגדל הניתן </w:t>
      </w:r>
      <w:r w:rsidRPr="000D406A">
        <w:rPr>
          <w:sz w:val="26"/>
          <w:rtl/>
        </w:rPr>
        <w:t xml:space="preserve">לאם עובדת, </w:t>
      </w:r>
      <w:r w:rsidRPr="000D406A">
        <w:rPr>
          <w:rFonts w:hint="cs"/>
          <w:sz w:val="26"/>
          <w:rtl/>
        </w:rPr>
        <w:t>כפי שקבוע</w:t>
      </w:r>
      <w:r w:rsidRPr="000D406A">
        <w:rPr>
          <w:sz w:val="26"/>
          <w:rtl/>
        </w:rPr>
        <w:t xml:space="preserve"> בסעיף 6א לחוק </w:t>
      </w:r>
      <w:r w:rsidR="00100529" w:rsidRPr="000D406A">
        <w:rPr>
          <w:rFonts w:hint="cs"/>
          <w:sz w:val="26"/>
          <w:rtl/>
        </w:rPr>
        <w:t>מענק עבודה</w:t>
      </w:r>
      <w:r w:rsidRPr="000D406A">
        <w:rPr>
          <w:rFonts w:hint="cs"/>
          <w:sz w:val="26"/>
          <w:rtl/>
        </w:rPr>
        <w:t xml:space="preserve">. </w:t>
      </w:r>
    </w:p>
    <w:p w:rsidR="00100529" w:rsidRPr="000D406A" w:rsidRDefault="00100529" w:rsidP="000D406A">
      <w:pPr>
        <w:pStyle w:val="Hesber1st"/>
        <w:tabs>
          <w:tab w:val="clear" w:pos="680"/>
        </w:tabs>
        <w:ind w:left="360"/>
        <w:rPr>
          <w:sz w:val="26"/>
          <w:rtl/>
        </w:rPr>
      </w:pPr>
    </w:p>
    <w:p w:rsidR="00C45A18" w:rsidRPr="000D406A" w:rsidRDefault="00C45A18" w:rsidP="000D406A">
      <w:pPr>
        <w:pStyle w:val="Hesber1st"/>
        <w:tabs>
          <w:tab w:val="clear" w:pos="680"/>
        </w:tabs>
        <w:ind w:left="360"/>
        <w:rPr>
          <w:sz w:val="26"/>
          <w:rtl/>
        </w:rPr>
      </w:pPr>
      <w:r w:rsidRPr="000D406A">
        <w:rPr>
          <w:sz w:val="26"/>
          <w:rtl/>
        </w:rPr>
        <w:t xml:space="preserve">כיום, הורה עובד שאינו הורה יחיד זכאי למענק עבודה מכוח החוק להגדלת ההשתתפות בשיעור העבודה, ככל שהוא משתכר שכר בסך של כ-2,060 ש"ח ועד לסך של כ-6,738 </w:t>
      </w:r>
      <w:r w:rsidR="00100529" w:rsidRPr="000D406A">
        <w:rPr>
          <w:rFonts w:hint="cs"/>
          <w:sz w:val="26"/>
          <w:rtl/>
        </w:rPr>
        <w:t>ש"ח</w:t>
      </w:r>
      <w:r w:rsidRPr="000D406A">
        <w:rPr>
          <w:sz w:val="26"/>
          <w:rtl/>
        </w:rPr>
        <w:t xml:space="preserve">. גובה המענק המקסימאלי לאב לשני ילדים או פחות עומד על 330 ש"ח ולאב לשלושה ילדים או יותר עומד על 480 ש"ח, ואילו גובה המענק המקסימאלי לאם עומד על שיעור של 50% נוספים מעבר לסכומים אלה. מוצע להגדיל את סכום המענק שניתן לאב עובד, כך שיהיה שווה לסכום המענק שניתן לאם עובדת. </w:t>
      </w:r>
    </w:p>
    <w:p w:rsidR="00100529" w:rsidRPr="000D406A" w:rsidRDefault="00100529" w:rsidP="000D406A">
      <w:pPr>
        <w:pStyle w:val="Hesber1st"/>
        <w:tabs>
          <w:tab w:val="clear" w:pos="680"/>
        </w:tabs>
        <w:ind w:left="360"/>
        <w:rPr>
          <w:sz w:val="26"/>
          <w:rtl/>
        </w:rPr>
      </w:pPr>
    </w:p>
    <w:p w:rsidR="00C45A18" w:rsidRPr="000D406A" w:rsidRDefault="000F7970" w:rsidP="000D406A">
      <w:pPr>
        <w:pStyle w:val="Hesber1st"/>
        <w:tabs>
          <w:tab w:val="clear" w:pos="680"/>
        </w:tabs>
        <w:ind w:left="360"/>
        <w:rPr>
          <w:sz w:val="26"/>
          <w:rtl/>
        </w:rPr>
      </w:pPr>
      <w:r w:rsidRPr="000D406A">
        <w:rPr>
          <w:rFonts w:hint="cs"/>
          <w:sz w:val="26"/>
          <w:rtl/>
        </w:rPr>
        <w:t xml:space="preserve">על פי </w:t>
      </w:r>
      <w:r w:rsidR="00C45A18" w:rsidRPr="000D406A">
        <w:rPr>
          <w:rFonts w:hint="cs"/>
          <w:sz w:val="26"/>
          <w:rtl/>
        </w:rPr>
        <w:t xml:space="preserve">התיקון </w:t>
      </w:r>
      <w:r w:rsidRPr="000D406A">
        <w:rPr>
          <w:rFonts w:hint="cs"/>
          <w:sz w:val="26"/>
          <w:rtl/>
        </w:rPr>
        <w:t xml:space="preserve">המוצע </w:t>
      </w:r>
      <w:r w:rsidR="00C45A18" w:rsidRPr="000D406A">
        <w:rPr>
          <w:sz w:val="26"/>
          <w:rtl/>
        </w:rPr>
        <w:t xml:space="preserve">גובה המענק החודשי לאב לשני ילדים או פחות יעמוד על סכום של עד 495 ש"ח, וסכום המענק לאב לשלושה ילדים או יותר יעמוד על סכום של עד 720 </w:t>
      </w:r>
      <w:r w:rsidR="00100529" w:rsidRPr="000D406A">
        <w:rPr>
          <w:rFonts w:hint="cs"/>
          <w:sz w:val="26"/>
          <w:rtl/>
        </w:rPr>
        <w:t>ש"ח</w:t>
      </w:r>
      <w:r w:rsidR="00C45A18" w:rsidRPr="000D406A">
        <w:rPr>
          <w:rFonts w:hint="cs"/>
          <w:sz w:val="26"/>
          <w:rtl/>
        </w:rPr>
        <w:t>.</w:t>
      </w:r>
    </w:p>
    <w:p w:rsidR="000F7970" w:rsidRPr="000D406A" w:rsidRDefault="000F7970" w:rsidP="000D406A">
      <w:pPr>
        <w:pStyle w:val="Hesber1st"/>
        <w:tabs>
          <w:tab w:val="clear" w:pos="680"/>
        </w:tabs>
        <w:ind w:left="360"/>
        <w:rPr>
          <w:sz w:val="26"/>
          <w:rtl/>
        </w:rPr>
      </w:pPr>
    </w:p>
    <w:p w:rsidR="00C45A18" w:rsidRPr="000D406A" w:rsidRDefault="000F7970" w:rsidP="000D406A">
      <w:pPr>
        <w:pStyle w:val="Hesber1st"/>
        <w:tabs>
          <w:tab w:val="clear" w:pos="680"/>
        </w:tabs>
        <w:ind w:left="360"/>
        <w:rPr>
          <w:sz w:val="26"/>
          <w:rtl/>
        </w:rPr>
      </w:pPr>
      <w:r w:rsidRPr="000D406A">
        <w:rPr>
          <w:rFonts w:hint="cs"/>
          <w:sz w:val="26"/>
          <w:rtl/>
        </w:rPr>
        <w:t xml:space="preserve">עוד </w:t>
      </w:r>
      <w:r w:rsidR="00C45A18" w:rsidRPr="000D406A">
        <w:rPr>
          <w:rFonts w:hint="cs"/>
          <w:sz w:val="26"/>
          <w:rtl/>
        </w:rPr>
        <w:t>מוצע לקבוע שב</w:t>
      </w:r>
      <w:r w:rsidR="00C45A18" w:rsidRPr="000D406A">
        <w:rPr>
          <w:sz w:val="26"/>
          <w:rtl/>
        </w:rPr>
        <w:t xml:space="preserve">מצב </w:t>
      </w:r>
      <w:r w:rsidR="00100529" w:rsidRPr="000D406A">
        <w:rPr>
          <w:rFonts w:hint="cs"/>
          <w:sz w:val="26"/>
          <w:rtl/>
        </w:rPr>
        <w:t>ש</w:t>
      </w:r>
      <w:r w:rsidR="00C45A18" w:rsidRPr="000D406A">
        <w:rPr>
          <w:sz w:val="26"/>
          <w:rtl/>
        </w:rPr>
        <w:t>בו שני בני הזוג עובדים, ובן הזוג של מי שזכאי למענק משתכר שכר שלא פוחת מסכום המזכה במענק חודשי מלא</w:t>
      </w:r>
      <w:r w:rsidR="00100529" w:rsidRPr="000D406A">
        <w:rPr>
          <w:rFonts w:hint="cs"/>
          <w:sz w:val="26"/>
          <w:rtl/>
        </w:rPr>
        <w:t>, היינו:</w:t>
      </w:r>
      <w:r w:rsidR="00C45A18" w:rsidRPr="000D406A">
        <w:rPr>
          <w:sz w:val="26"/>
          <w:rtl/>
        </w:rPr>
        <w:t xml:space="preserve"> 3,580 ש"ח, יגדל סכום המענק המשולם לזכאי בסך של 30% נוספים.</w:t>
      </w:r>
      <w:r w:rsidR="00C45A18" w:rsidRPr="000D406A">
        <w:rPr>
          <w:rFonts w:hint="cs"/>
          <w:sz w:val="26"/>
          <w:rtl/>
        </w:rPr>
        <w:t xml:space="preserve"> </w:t>
      </w:r>
      <w:r w:rsidRPr="000D406A">
        <w:rPr>
          <w:rFonts w:hint="cs"/>
          <w:sz w:val="26"/>
          <w:rtl/>
        </w:rPr>
        <w:t xml:space="preserve">על פי התיקון המוצע </w:t>
      </w:r>
      <w:r w:rsidR="00C45A18" w:rsidRPr="000D406A">
        <w:rPr>
          <w:rFonts w:hint="cs"/>
          <w:sz w:val="26"/>
          <w:rtl/>
        </w:rPr>
        <w:t>המענק הנוסף המלא, בגובה 30% מסכום המענק הבסיסי, יינתן רק כאשר שני העובדים עובדים במשך כל השנה, ואם שני בני הזוג עובדים רק בחלק מהשנה יקבלו תוספת מענק באופן יחסי לפי מספר החודשים שבו שני בני הזוג עבדו.</w:t>
      </w:r>
    </w:p>
    <w:p w:rsidR="00100529" w:rsidRPr="000D406A" w:rsidRDefault="00100529" w:rsidP="000D406A">
      <w:pPr>
        <w:pStyle w:val="Hesber1st"/>
        <w:tabs>
          <w:tab w:val="clear" w:pos="680"/>
        </w:tabs>
        <w:ind w:left="360"/>
        <w:rPr>
          <w:sz w:val="26"/>
          <w:rtl/>
        </w:rPr>
      </w:pPr>
    </w:p>
    <w:p w:rsidR="00C45A18" w:rsidRPr="000D406A" w:rsidRDefault="00C45A18" w:rsidP="000D406A">
      <w:pPr>
        <w:pStyle w:val="Hesber1st"/>
        <w:tabs>
          <w:tab w:val="clear" w:pos="680"/>
        </w:tabs>
        <w:ind w:left="360"/>
        <w:rPr>
          <w:sz w:val="26"/>
          <w:rtl/>
        </w:rPr>
      </w:pPr>
      <w:r w:rsidRPr="000D406A">
        <w:rPr>
          <w:sz w:val="26"/>
          <w:rtl/>
        </w:rPr>
        <w:t xml:space="preserve">יובהר </w:t>
      </w:r>
      <w:r w:rsidR="004521C9" w:rsidRPr="000D406A">
        <w:rPr>
          <w:rFonts w:hint="cs"/>
          <w:sz w:val="26"/>
          <w:rtl/>
        </w:rPr>
        <w:t>שבמצב החוקי הקיים</w:t>
      </w:r>
      <w:r w:rsidRPr="000D406A">
        <w:rPr>
          <w:rFonts w:hint="cs"/>
          <w:sz w:val="26"/>
          <w:rtl/>
        </w:rPr>
        <w:t xml:space="preserve">, </w:t>
      </w:r>
      <w:r w:rsidRPr="000D406A">
        <w:rPr>
          <w:sz w:val="26"/>
          <w:rtl/>
        </w:rPr>
        <w:t xml:space="preserve">אם הכנסת המשפחה גבוהה מאוד, גובה המענק של </w:t>
      </w:r>
      <w:r w:rsidRPr="000D406A">
        <w:rPr>
          <w:rFonts w:hint="cs"/>
          <w:sz w:val="26"/>
          <w:rtl/>
        </w:rPr>
        <w:t>ה</w:t>
      </w:r>
      <w:r w:rsidRPr="000D406A">
        <w:rPr>
          <w:sz w:val="26"/>
          <w:rtl/>
        </w:rPr>
        <w:t>עובד הזכאי קטן עד ש</w:t>
      </w:r>
      <w:r w:rsidRPr="000D406A">
        <w:rPr>
          <w:rFonts w:hint="cs"/>
          <w:sz w:val="26"/>
          <w:rtl/>
        </w:rPr>
        <w:t>מ</w:t>
      </w:r>
      <w:r w:rsidRPr="000D406A">
        <w:rPr>
          <w:sz w:val="26"/>
          <w:rtl/>
        </w:rPr>
        <w:t>תאפס, כך ש</w:t>
      </w:r>
      <w:r w:rsidRPr="000D406A">
        <w:rPr>
          <w:rFonts w:hint="cs"/>
          <w:sz w:val="26"/>
          <w:rtl/>
        </w:rPr>
        <w:t>גם לאחר התיקון ה</w:t>
      </w:r>
      <w:r w:rsidRPr="000D406A">
        <w:rPr>
          <w:sz w:val="26"/>
          <w:rtl/>
        </w:rPr>
        <w:t xml:space="preserve">הטבה לא תינתן לעובדים זכאים שבן זוגם מרוויח שכר גבוה מאוד.     </w:t>
      </w:r>
    </w:p>
    <w:p w:rsidR="000F7970" w:rsidRPr="000D406A" w:rsidRDefault="000F7970" w:rsidP="000D406A">
      <w:pPr>
        <w:pStyle w:val="Hesber1st"/>
        <w:tabs>
          <w:tab w:val="clear" w:pos="680"/>
        </w:tabs>
        <w:ind w:left="360"/>
        <w:rPr>
          <w:b/>
          <w:bCs/>
          <w:sz w:val="26"/>
          <w:rtl/>
        </w:rPr>
      </w:pPr>
    </w:p>
    <w:p w:rsidR="00C45A18" w:rsidRDefault="000F7970" w:rsidP="000D406A">
      <w:pPr>
        <w:pStyle w:val="Hesber1st"/>
        <w:tabs>
          <w:tab w:val="clear" w:pos="680"/>
        </w:tabs>
        <w:ind w:left="360"/>
        <w:rPr>
          <w:sz w:val="26"/>
          <w:rtl/>
        </w:rPr>
      </w:pPr>
      <w:r w:rsidRPr="000D406A">
        <w:rPr>
          <w:rFonts w:hint="cs"/>
          <w:sz w:val="26"/>
          <w:rtl/>
        </w:rPr>
        <w:t>כמו כן</w:t>
      </w:r>
      <w:r w:rsidR="00193EE1" w:rsidRPr="000D406A">
        <w:rPr>
          <w:rFonts w:hint="cs"/>
          <w:sz w:val="26"/>
          <w:rtl/>
        </w:rPr>
        <w:t>,</w:t>
      </w:r>
      <w:r w:rsidRPr="000D406A">
        <w:rPr>
          <w:rFonts w:hint="cs"/>
          <w:sz w:val="26"/>
          <w:rtl/>
        </w:rPr>
        <w:t xml:space="preserve"> </w:t>
      </w:r>
      <w:r w:rsidR="00C45A18" w:rsidRPr="000D406A">
        <w:rPr>
          <w:rFonts w:hint="cs"/>
          <w:sz w:val="26"/>
          <w:rtl/>
        </w:rPr>
        <w:t xml:space="preserve">מוצע להגדיל את </w:t>
      </w:r>
      <w:r w:rsidR="00C45A18" w:rsidRPr="000D406A">
        <w:rPr>
          <w:sz w:val="26"/>
          <w:rtl/>
        </w:rPr>
        <w:t xml:space="preserve">טווח ההכנסה המזכה במענק המלא, </w:t>
      </w:r>
      <w:r w:rsidRPr="000D406A">
        <w:rPr>
          <w:rFonts w:hint="cs"/>
          <w:sz w:val="26"/>
          <w:rtl/>
        </w:rPr>
        <w:t xml:space="preserve">העומד כיום על 3,580 </w:t>
      </w:r>
      <w:r w:rsidR="00100529" w:rsidRPr="000D406A">
        <w:rPr>
          <w:rFonts w:hint="cs"/>
          <w:sz w:val="26"/>
          <w:rtl/>
        </w:rPr>
        <w:t xml:space="preserve">ש"ח </w:t>
      </w:r>
      <w:r w:rsidRPr="000D406A">
        <w:rPr>
          <w:rFonts w:hint="cs"/>
          <w:sz w:val="26"/>
          <w:rtl/>
        </w:rPr>
        <w:t xml:space="preserve">- 4,780 </w:t>
      </w:r>
      <w:r w:rsidR="00100529" w:rsidRPr="000D406A">
        <w:rPr>
          <w:rFonts w:hint="cs"/>
          <w:sz w:val="26"/>
          <w:rtl/>
        </w:rPr>
        <w:t>ש"ח</w:t>
      </w:r>
      <w:r w:rsidRPr="000D406A">
        <w:rPr>
          <w:rFonts w:hint="cs"/>
          <w:sz w:val="26"/>
          <w:rtl/>
        </w:rPr>
        <w:t xml:space="preserve">, </w:t>
      </w:r>
      <w:r w:rsidR="00C45A18" w:rsidRPr="000D406A">
        <w:rPr>
          <w:sz w:val="26"/>
          <w:rtl/>
        </w:rPr>
        <w:t xml:space="preserve">כך שמי שמשתכר שכר שבין 3,580 ש"ח ועד 5,000 ש"ח יהיה זכאי למענק </w:t>
      </w:r>
      <w:r w:rsidR="00C45A18" w:rsidRPr="000D406A">
        <w:rPr>
          <w:rFonts w:hint="cs"/>
          <w:sz w:val="26"/>
          <w:rtl/>
        </w:rPr>
        <w:t>ה</w:t>
      </w:r>
      <w:r w:rsidR="00C45A18" w:rsidRPr="000D406A">
        <w:rPr>
          <w:sz w:val="26"/>
          <w:rtl/>
        </w:rPr>
        <w:t xml:space="preserve">מלא. </w:t>
      </w:r>
    </w:p>
    <w:p w:rsidR="000D406A" w:rsidRPr="00C65BE7" w:rsidRDefault="000D406A" w:rsidP="000D406A">
      <w:pPr>
        <w:pStyle w:val="Hesber"/>
        <w:ind w:left="360" w:firstLine="0"/>
        <w:rPr>
          <w:sz w:val="26"/>
          <w:rtl/>
        </w:rPr>
      </w:pPr>
      <w:r>
        <w:rPr>
          <w:rFonts w:hint="cs"/>
          <w:sz w:val="26"/>
          <w:rtl/>
        </w:rPr>
        <w:t xml:space="preserve">התיקון בחוק מענק עבודה מוצע כהוראת שעה, אשר יחול לגבי מענקים המשולמים בשנת 2019 בשל עבודה אשר מבוצעת בשנת 2018. </w:t>
      </w:r>
    </w:p>
    <w:p w:rsidR="00571358" w:rsidRDefault="00571358" w:rsidP="000D406A">
      <w:pPr>
        <w:pStyle w:val="Hesber"/>
        <w:ind w:firstLine="0"/>
        <w:rPr>
          <w:sz w:val="26"/>
          <w:rtl/>
        </w:rPr>
      </w:pPr>
    </w:p>
    <w:p w:rsidR="00077E1E" w:rsidRPr="000D406A" w:rsidRDefault="00077E1E" w:rsidP="000D406A">
      <w:pPr>
        <w:pStyle w:val="Hesber"/>
        <w:ind w:firstLine="0"/>
        <w:rPr>
          <w:sz w:val="26"/>
        </w:rPr>
      </w:pPr>
    </w:p>
    <w:p w:rsidR="0091561A" w:rsidRPr="000D406A" w:rsidRDefault="0091561A" w:rsidP="000D406A">
      <w:pPr>
        <w:widowControl/>
        <w:numPr>
          <w:ilvl w:val="0"/>
          <w:numId w:val="2"/>
        </w:numPr>
        <w:autoSpaceDE/>
        <w:autoSpaceDN/>
        <w:adjustRightInd/>
        <w:spacing w:before="0" w:after="60" w:line="360" w:lineRule="auto"/>
        <w:textAlignment w:val="auto"/>
        <w:rPr>
          <w:rFonts w:cs="David"/>
          <w:b/>
          <w:bCs/>
          <w:sz w:val="26"/>
          <w:szCs w:val="26"/>
          <w:u w:val="single"/>
        </w:rPr>
      </w:pPr>
      <w:r w:rsidRPr="000D406A">
        <w:rPr>
          <w:rFonts w:cs="David" w:hint="cs"/>
          <w:b/>
          <w:bCs/>
          <w:sz w:val="26"/>
          <w:szCs w:val="26"/>
          <w:u w:val="single"/>
          <w:rtl/>
        </w:rPr>
        <w:t>השפעת החוק המוצע על החוק הקיים</w:t>
      </w:r>
    </w:p>
    <w:p w:rsidR="00100529" w:rsidRPr="000D406A" w:rsidRDefault="00100529" w:rsidP="000D406A">
      <w:pPr>
        <w:pStyle w:val="Hesber1st"/>
        <w:tabs>
          <w:tab w:val="clear" w:pos="680"/>
        </w:tabs>
        <w:spacing w:after="60"/>
        <w:ind w:left="360"/>
        <w:rPr>
          <w:sz w:val="26"/>
          <w:rtl/>
        </w:rPr>
      </w:pPr>
    </w:p>
    <w:p w:rsidR="000F7970" w:rsidRPr="000D406A" w:rsidRDefault="000F7970" w:rsidP="000D406A">
      <w:pPr>
        <w:pStyle w:val="Hesber1st"/>
        <w:tabs>
          <w:tab w:val="clear" w:pos="680"/>
        </w:tabs>
        <w:spacing w:after="60"/>
        <w:ind w:left="360"/>
        <w:rPr>
          <w:rFonts w:ascii="David" w:hAnsi="Tms Rmn"/>
          <w:sz w:val="26"/>
          <w:rtl/>
          <w:lang w:eastAsia="en-US"/>
        </w:rPr>
      </w:pPr>
      <w:r w:rsidRPr="000D406A">
        <w:rPr>
          <w:rFonts w:hint="cs"/>
          <w:sz w:val="26"/>
          <w:rtl/>
        </w:rPr>
        <w:t xml:space="preserve">תיקון חוק מס הכנסה (הגדלת נקודות זיכוי להורים </w:t>
      </w:r>
      <w:r w:rsidRPr="000D406A">
        <w:rPr>
          <w:sz w:val="26"/>
          <w:rtl/>
        </w:rPr>
        <w:t>–</w:t>
      </w:r>
      <w:r w:rsidRPr="000D406A">
        <w:rPr>
          <w:rFonts w:hint="cs"/>
          <w:sz w:val="26"/>
          <w:rtl/>
        </w:rPr>
        <w:t xml:space="preserve"> הוראת שעה), התשע"ז-2017</w:t>
      </w:r>
      <w:r w:rsidR="009D261D" w:rsidRPr="000D406A">
        <w:rPr>
          <w:rFonts w:ascii="David" w:hAnsi="Tms Rmn" w:hint="cs"/>
          <w:sz w:val="26"/>
          <w:rtl/>
          <w:lang w:eastAsia="en-US"/>
        </w:rPr>
        <w:t>.</w:t>
      </w:r>
    </w:p>
    <w:p w:rsidR="000F7970" w:rsidRPr="000D406A" w:rsidRDefault="000F7970" w:rsidP="000D406A">
      <w:pPr>
        <w:pStyle w:val="Hesber1st"/>
        <w:tabs>
          <w:tab w:val="clear" w:pos="680"/>
        </w:tabs>
        <w:spacing w:after="60"/>
        <w:ind w:left="360"/>
        <w:rPr>
          <w:rFonts w:ascii="David" w:hAnsi="Tms Rmn"/>
          <w:sz w:val="26"/>
          <w:rtl/>
          <w:lang w:eastAsia="en-US"/>
        </w:rPr>
      </w:pPr>
      <w:r w:rsidRPr="000D406A">
        <w:rPr>
          <w:rFonts w:hint="cs"/>
          <w:sz w:val="26"/>
          <w:rtl/>
        </w:rPr>
        <w:t>תיקון חוק לשינוי סדרי עדיפויות לאומיים (תיקוני חקיקה להשגת יעדי התקציב לשנים 2013 ו-2014), התשע"ג-2013</w:t>
      </w:r>
      <w:r w:rsidR="009D261D" w:rsidRPr="000D406A">
        <w:rPr>
          <w:rFonts w:ascii="David" w:hAnsi="Tms Rmn" w:hint="cs"/>
          <w:sz w:val="26"/>
          <w:rtl/>
          <w:lang w:eastAsia="en-US"/>
        </w:rPr>
        <w:t>.</w:t>
      </w:r>
    </w:p>
    <w:p w:rsidR="0091561A" w:rsidRPr="000D406A" w:rsidRDefault="0091561A" w:rsidP="00077E1E">
      <w:pPr>
        <w:pStyle w:val="Hesber1st"/>
        <w:tabs>
          <w:tab w:val="clear" w:pos="680"/>
        </w:tabs>
        <w:spacing w:after="60"/>
        <w:ind w:left="360"/>
        <w:rPr>
          <w:rFonts w:ascii="David" w:hAnsi="Tms Rmn"/>
          <w:sz w:val="26"/>
          <w:rtl/>
          <w:lang w:eastAsia="en-US"/>
        </w:rPr>
      </w:pPr>
      <w:r w:rsidRPr="000D406A">
        <w:rPr>
          <w:rFonts w:ascii="David" w:hAnsi="Tms Rmn" w:hint="cs"/>
          <w:sz w:val="26"/>
          <w:rtl/>
          <w:lang w:eastAsia="en-US"/>
        </w:rPr>
        <w:t xml:space="preserve">תיקון </w:t>
      </w:r>
      <w:r w:rsidR="00391B09" w:rsidRPr="000D406A">
        <w:rPr>
          <w:rFonts w:ascii="David" w:hAnsi="Tms Rmn"/>
          <w:sz w:val="26"/>
          <w:rtl/>
          <w:lang w:eastAsia="en-US"/>
        </w:rPr>
        <w:t>חוק שירות המילואים, התשס"ח</w:t>
      </w:r>
      <w:r w:rsidR="00077E1E">
        <w:rPr>
          <w:rFonts w:ascii="David" w:hAnsi="Tms Rmn" w:hint="cs"/>
          <w:sz w:val="26"/>
          <w:rtl/>
          <w:lang w:eastAsia="en-US"/>
        </w:rPr>
        <w:t>-</w:t>
      </w:r>
      <w:r w:rsidR="00391B09" w:rsidRPr="000D406A">
        <w:rPr>
          <w:rFonts w:ascii="David" w:hAnsi="Tms Rmn"/>
          <w:sz w:val="26"/>
          <w:rtl/>
          <w:lang w:eastAsia="en-US"/>
        </w:rPr>
        <w:t>2008</w:t>
      </w:r>
      <w:r w:rsidRPr="000D406A">
        <w:rPr>
          <w:rFonts w:ascii="David" w:hAnsi="Tms Rmn" w:hint="cs"/>
          <w:sz w:val="26"/>
          <w:rtl/>
          <w:lang w:eastAsia="en-US"/>
        </w:rPr>
        <w:t>.</w:t>
      </w:r>
    </w:p>
    <w:p w:rsidR="000F7970" w:rsidRPr="000D406A" w:rsidRDefault="000F7970" w:rsidP="000D406A">
      <w:pPr>
        <w:pStyle w:val="Hesber1st"/>
        <w:tabs>
          <w:tab w:val="clear" w:pos="680"/>
        </w:tabs>
        <w:spacing w:after="60"/>
        <w:ind w:left="360"/>
        <w:rPr>
          <w:rFonts w:ascii="David" w:hAnsi="Tms Rmn"/>
          <w:sz w:val="26"/>
          <w:rtl/>
          <w:lang w:eastAsia="en-US"/>
        </w:rPr>
      </w:pPr>
      <w:r w:rsidRPr="000D406A">
        <w:rPr>
          <w:rFonts w:ascii="David" w:hAnsi="Tms Rmn" w:hint="cs"/>
          <w:sz w:val="26"/>
          <w:rtl/>
          <w:lang w:eastAsia="en-US"/>
        </w:rPr>
        <w:t>תיקון פקודת מס הכנסה [נוסח חדש]</w:t>
      </w:r>
      <w:r w:rsidR="009D261D" w:rsidRPr="000D406A">
        <w:rPr>
          <w:rFonts w:ascii="David" w:hAnsi="Tms Rmn" w:hint="cs"/>
          <w:sz w:val="26"/>
          <w:rtl/>
          <w:lang w:eastAsia="en-US"/>
        </w:rPr>
        <w:t>.</w:t>
      </w:r>
    </w:p>
    <w:p w:rsidR="000F7970" w:rsidRPr="000D406A" w:rsidRDefault="000F7970" w:rsidP="000D406A">
      <w:pPr>
        <w:pStyle w:val="TableBlock"/>
        <w:keepLines w:val="0"/>
        <w:rPr>
          <w:sz w:val="26"/>
          <w:rtl/>
        </w:rPr>
      </w:pPr>
      <w:r w:rsidRPr="000D406A">
        <w:rPr>
          <w:rFonts w:hint="cs"/>
          <w:sz w:val="26"/>
          <w:rtl/>
        </w:rPr>
        <w:t xml:space="preserve">      תיקון חוק מיסוי מקרקעין (שבח ורכישה), התשכ"ג-1963</w:t>
      </w:r>
      <w:r w:rsidR="009D261D" w:rsidRPr="000D406A">
        <w:rPr>
          <w:rFonts w:hint="cs"/>
          <w:sz w:val="26"/>
          <w:rtl/>
        </w:rPr>
        <w:t>.</w:t>
      </w:r>
    </w:p>
    <w:p w:rsidR="000F7970" w:rsidRPr="000D406A" w:rsidRDefault="000F7970" w:rsidP="000D406A">
      <w:pPr>
        <w:pStyle w:val="TableBlock"/>
        <w:keepLines w:val="0"/>
        <w:ind w:left="360"/>
        <w:rPr>
          <w:sz w:val="26"/>
          <w:rtl/>
        </w:rPr>
      </w:pPr>
      <w:r w:rsidRPr="000D406A">
        <w:rPr>
          <w:rFonts w:hint="cs"/>
          <w:sz w:val="26"/>
          <w:rtl/>
        </w:rPr>
        <w:t>תיקון חוק להגדלת שיעור ההשתתפות בכוח העבודה ולצמצום פערים חברתיים (מענק עבודה), תשס"ח-2007</w:t>
      </w:r>
      <w:r w:rsidR="009D261D" w:rsidRPr="000D406A">
        <w:rPr>
          <w:rFonts w:hint="cs"/>
          <w:sz w:val="26"/>
          <w:rtl/>
        </w:rPr>
        <w:t>.</w:t>
      </w:r>
    </w:p>
    <w:p w:rsidR="000F7970" w:rsidRPr="000D406A" w:rsidRDefault="000F7970" w:rsidP="000D406A">
      <w:pPr>
        <w:pStyle w:val="Hesber1st"/>
        <w:tabs>
          <w:tab w:val="clear" w:pos="680"/>
        </w:tabs>
        <w:spacing w:after="60"/>
        <w:rPr>
          <w:rFonts w:ascii="David" w:hAnsi="Tms Rmn"/>
          <w:sz w:val="26"/>
          <w:rtl/>
          <w:lang w:eastAsia="en-US"/>
        </w:rPr>
      </w:pPr>
      <w:r w:rsidRPr="000D406A">
        <w:rPr>
          <w:rFonts w:ascii="David" w:hAnsi="Tms Rmn" w:hint="cs"/>
          <w:sz w:val="26"/>
          <w:rtl/>
          <w:lang w:eastAsia="en-US"/>
        </w:rPr>
        <w:t xml:space="preserve"> </w:t>
      </w:r>
    </w:p>
    <w:p w:rsidR="0091561A" w:rsidRPr="000D406A" w:rsidRDefault="0091561A" w:rsidP="000D406A">
      <w:pPr>
        <w:widowControl/>
        <w:numPr>
          <w:ilvl w:val="0"/>
          <w:numId w:val="2"/>
        </w:numPr>
        <w:autoSpaceDE/>
        <w:autoSpaceDN/>
        <w:adjustRightInd/>
        <w:spacing w:before="0" w:after="60" w:line="360" w:lineRule="auto"/>
        <w:textAlignment w:val="auto"/>
        <w:rPr>
          <w:rFonts w:cs="David"/>
          <w:b/>
          <w:bCs/>
          <w:sz w:val="26"/>
          <w:szCs w:val="26"/>
          <w:u w:val="single"/>
        </w:rPr>
      </w:pPr>
      <w:r w:rsidRPr="000D406A">
        <w:rPr>
          <w:rFonts w:cs="David" w:hint="cs"/>
          <w:b/>
          <w:bCs/>
          <w:sz w:val="26"/>
          <w:szCs w:val="26"/>
          <w:u w:val="single"/>
          <w:rtl/>
        </w:rPr>
        <w:t>השפעת החוק המוצע על תקציב המדינה, על תקנים במשרדי הממשלה ועל ההיבט המנהלי</w:t>
      </w:r>
    </w:p>
    <w:p w:rsidR="000802DC" w:rsidRPr="000D406A" w:rsidRDefault="000802DC" w:rsidP="000D406A">
      <w:pPr>
        <w:spacing w:before="0" w:after="60" w:line="360" w:lineRule="auto"/>
        <w:rPr>
          <w:rFonts w:cs="David"/>
          <w:b/>
          <w:bCs/>
          <w:sz w:val="26"/>
          <w:szCs w:val="26"/>
          <w:u w:val="single"/>
          <w:rtl/>
        </w:rPr>
      </w:pPr>
    </w:p>
    <w:p w:rsidR="00F306AD" w:rsidRPr="000D406A" w:rsidRDefault="00AD40D4" w:rsidP="000D406A">
      <w:pPr>
        <w:spacing w:before="0" w:after="60" w:line="360" w:lineRule="auto"/>
        <w:rPr>
          <w:rFonts w:cs="David"/>
          <w:sz w:val="26"/>
          <w:szCs w:val="26"/>
          <w:rtl/>
        </w:rPr>
      </w:pPr>
      <w:r w:rsidRPr="000D406A">
        <w:rPr>
          <w:rFonts w:cs="David" w:hint="cs"/>
          <w:sz w:val="26"/>
          <w:szCs w:val="26"/>
          <w:rtl/>
        </w:rPr>
        <w:t xml:space="preserve">סעיף 1 </w:t>
      </w:r>
      <w:r w:rsidR="00833FE6" w:rsidRPr="000D406A">
        <w:rPr>
          <w:rFonts w:cs="David" w:hint="cs"/>
          <w:sz w:val="26"/>
          <w:szCs w:val="26"/>
          <w:rtl/>
        </w:rPr>
        <w:t>-</w:t>
      </w:r>
      <w:r w:rsidR="004525EF" w:rsidRPr="000D406A">
        <w:rPr>
          <w:rFonts w:cs="David" w:hint="cs"/>
          <w:sz w:val="26"/>
          <w:szCs w:val="26"/>
          <w:rtl/>
        </w:rPr>
        <w:t xml:space="preserve"> הפסד הכנסות מוערך ב-</w:t>
      </w:r>
      <w:r w:rsidRPr="000D406A">
        <w:rPr>
          <w:rFonts w:cs="David" w:hint="cs"/>
          <w:sz w:val="26"/>
          <w:szCs w:val="26"/>
          <w:rtl/>
        </w:rPr>
        <w:t>1.7 מיליארד</w:t>
      </w:r>
      <w:r w:rsidR="00833FE6" w:rsidRPr="000D406A">
        <w:rPr>
          <w:rFonts w:cs="David" w:hint="cs"/>
          <w:sz w:val="26"/>
          <w:szCs w:val="26"/>
          <w:rtl/>
        </w:rPr>
        <w:t xml:space="preserve"> ש"ח</w:t>
      </w:r>
      <w:r w:rsidR="00F0280A" w:rsidRPr="000D406A">
        <w:rPr>
          <w:rFonts w:cs="David" w:hint="cs"/>
          <w:sz w:val="26"/>
          <w:szCs w:val="26"/>
          <w:rtl/>
        </w:rPr>
        <w:t xml:space="preserve"> </w:t>
      </w:r>
      <w:r w:rsidRPr="000D406A">
        <w:rPr>
          <w:rFonts w:cs="David" w:hint="cs"/>
          <w:sz w:val="26"/>
          <w:szCs w:val="26"/>
          <w:rtl/>
        </w:rPr>
        <w:t>לשנה</w:t>
      </w:r>
      <w:r w:rsidR="001F4CCE" w:rsidRPr="000D406A">
        <w:rPr>
          <w:rFonts w:cs="David" w:hint="cs"/>
          <w:sz w:val="26"/>
          <w:szCs w:val="26"/>
          <w:rtl/>
        </w:rPr>
        <w:t>.</w:t>
      </w:r>
    </w:p>
    <w:p w:rsidR="00AD40D4" w:rsidRPr="000D406A" w:rsidRDefault="00AD40D4" w:rsidP="000D406A">
      <w:pPr>
        <w:spacing w:before="0" w:after="60" w:line="360" w:lineRule="auto"/>
        <w:ind w:left="340" w:firstLine="0"/>
        <w:rPr>
          <w:rFonts w:cs="David"/>
          <w:sz w:val="26"/>
          <w:szCs w:val="26"/>
          <w:rtl/>
        </w:rPr>
      </w:pPr>
      <w:r w:rsidRPr="000D406A">
        <w:rPr>
          <w:rFonts w:cs="David" w:hint="cs"/>
          <w:sz w:val="26"/>
          <w:szCs w:val="26"/>
          <w:rtl/>
        </w:rPr>
        <w:t xml:space="preserve">סעיף 2 </w:t>
      </w:r>
      <w:r w:rsidR="00833FE6" w:rsidRPr="000D406A">
        <w:rPr>
          <w:rFonts w:cs="David" w:hint="cs"/>
          <w:sz w:val="26"/>
          <w:szCs w:val="26"/>
          <w:rtl/>
        </w:rPr>
        <w:t>-</w:t>
      </w:r>
      <w:r w:rsidRPr="000D406A">
        <w:rPr>
          <w:rFonts w:cs="David" w:hint="cs"/>
          <w:sz w:val="26"/>
          <w:szCs w:val="26"/>
          <w:rtl/>
        </w:rPr>
        <w:t xml:space="preserve"> תוספת</w:t>
      </w:r>
      <w:r w:rsidR="00745ABA" w:rsidRPr="000D406A">
        <w:rPr>
          <w:rFonts w:cs="David" w:hint="cs"/>
          <w:sz w:val="26"/>
          <w:szCs w:val="26"/>
          <w:rtl/>
        </w:rPr>
        <w:t xml:space="preserve"> הכ</w:t>
      </w:r>
      <w:r w:rsidR="004525EF" w:rsidRPr="000D406A">
        <w:rPr>
          <w:rFonts w:cs="David" w:hint="cs"/>
          <w:sz w:val="26"/>
          <w:szCs w:val="26"/>
          <w:rtl/>
        </w:rPr>
        <w:t>נסות מוערכת ב-</w:t>
      </w:r>
      <w:r w:rsidR="00833FE6" w:rsidRPr="000D406A">
        <w:rPr>
          <w:rFonts w:cs="David" w:hint="cs"/>
          <w:sz w:val="26"/>
          <w:szCs w:val="26"/>
          <w:rtl/>
        </w:rPr>
        <w:t>70 מיליון ש"ח</w:t>
      </w:r>
      <w:r w:rsidR="00941376" w:rsidRPr="000D406A">
        <w:rPr>
          <w:rFonts w:cs="David" w:hint="cs"/>
          <w:sz w:val="26"/>
          <w:szCs w:val="26"/>
          <w:rtl/>
        </w:rPr>
        <w:t xml:space="preserve"> לשנים</w:t>
      </w:r>
      <w:r w:rsidR="00745ABA" w:rsidRPr="000D406A">
        <w:rPr>
          <w:rFonts w:cs="David" w:hint="cs"/>
          <w:sz w:val="26"/>
          <w:szCs w:val="26"/>
          <w:rtl/>
        </w:rPr>
        <w:t xml:space="preserve"> 2021</w:t>
      </w:r>
      <w:r w:rsidR="00941376" w:rsidRPr="000D406A">
        <w:rPr>
          <w:rFonts w:cs="David" w:hint="cs"/>
          <w:sz w:val="26"/>
          <w:szCs w:val="26"/>
          <w:rtl/>
        </w:rPr>
        <w:t xml:space="preserve"> ו-2028</w:t>
      </w:r>
      <w:r w:rsidR="00745ABA" w:rsidRPr="000D406A">
        <w:rPr>
          <w:rFonts w:cs="David" w:hint="cs"/>
          <w:sz w:val="26"/>
          <w:szCs w:val="26"/>
          <w:rtl/>
        </w:rPr>
        <w:t xml:space="preserve"> וב</w:t>
      </w:r>
      <w:r w:rsidR="00327A71" w:rsidRPr="000D406A">
        <w:rPr>
          <w:rFonts w:cs="David" w:hint="cs"/>
          <w:sz w:val="26"/>
          <w:szCs w:val="26"/>
          <w:rtl/>
        </w:rPr>
        <w:t>-</w:t>
      </w:r>
      <w:r w:rsidR="00833FE6" w:rsidRPr="000D406A">
        <w:rPr>
          <w:rFonts w:cs="David" w:hint="cs"/>
          <w:sz w:val="26"/>
          <w:szCs w:val="26"/>
          <w:rtl/>
        </w:rPr>
        <w:t xml:space="preserve"> 140 מיליון ש"ח</w:t>
      </w:r>
      <w:r w:rsidR="00941376" w:rsidRPr="000D406A">
        <w:rPr>
          <w:rFonts w:cs="David" w:hint="cs"/>
          <w:sz w:val="26"/>
          <w:szCs w:val="26"/>
          <w:rtl/>
        </w:rPr>
        <w:t xml:space="preserve"> לשנים </w:t>
      </w:r>
      <w:r w:rsidR="00833FE6" w:rsidRPr="000D406A">
        <w:rPr>
          <w:rFonts w:cs="David" w:hint="cs"/>
          <w:sz w:val="26"/>
          <w:szCs w:val="26"/>
          <w:rtl/>
        </w:rPr>
        <w:t>2022 עד 2027</w:t>
      </w:r>
      <w:r w:rsidR="001F4CCE" w:rsidRPr="000D406A">
        <w:rPr>
          <w:rFonts w:cs="David" w:hint="cs"/>
          <w:sz w:val="26"/>
          <w:szCs w:val="26"/>
          <w:rtl/>
        </w:rPr>
        <w:t>.</w:t>
      </w:r>
    </w:p>
    <w:p w:rsidR="00AD40D4" w:rsidRPr="000D406A" w:rsidRDefault="00AD40D4" w:rsidP="000D406A">
      <w:pPr>
        <w:spacing w:before="0" w:after="60" w:line="360" w:lineRule="auto"/>
        <w:rPr>
          <w:rFonts w:cs="David"/>
          <w:sz w:val="26"/>
          <w:szCs w:val="26"/>
          <w:rtl/>
        </w:rPr>
      </w:pPr>
      <w:r w:rsidRPr="000D406A">
        <w:rPr>
          <w:rFonts w:cs="David" w:hint="cs"/>
          <w:sz w:val="26"/>
          <w:szCs w:val="26"/>
          <w:rtl/>
        </w:rPr>
        <w:t xml:space="preserve">סעיף 3 </w:t>
      </w:r>
      <w:r w:rsidR="00833FE6" w:rsidRPr="000D406A">
        <w:rPr>
          <w:rFonts w:cs="David" w:hint="cs"/>
          <w:sz w:val="26"/>
          <w:szCs w:val="26"/>
          <w:rtl/>
        </w:rPr>
        <w:t>-</w:t>
      </w:r>
      <w:r w:rsidR="004525EF" w:rsidRPr="000D406A">
        <w:rPr>
          <w:rFonts w:cs="David" w:hint="cs"/>
          <w:sz w:val="26"/>
          <w:szCs w:val="26"/>
          <w:rtl/>
        </w:rPr>
        <w:t xml:space="preserve"> הפסד הכנסות מוערך ב</w:t>
      </w:r>
      <w:r w:rsidRPr="000D406A">
        <w:rPr>
          <w:rFonts w:cs="David" w:hint="cs"/>
          <w:sz w:val="26"/>
          <w:szCs w:val="26"/>
          <w:rtl/>
        </w:rPr>
        <w:t xml:space="preserve">-7.5 </w:t>
      </w:r>
      <w:r w:rsidR="00833FE6" w:rsidRPr="000D406A">
        <w:rPr>
          <w:rFonts w:cs="David" w:hint="cs"/>
          <w:sz w:val="26"/>
          <w:szCs w:val="26"/>
          <w:rtl/>
        </w:rPr>
        <w:t>מיליון ש"ח</w:t>
      </w:r>
      <w:r w:rsidRPr="000D406A">
        <w:rPr>
          <w:rFonts w:cs="David" w:hint="cs"/>
          <w:sz w:val="26"/>
          <w:szCs w:val="26"/>
          <w:rtl/>
        </w:rPr>
        <w:t xml:space="preserve"> בשנה</w:t>
      </w:r>
      <w:r w:rsidR="001F4CCE" w:rsidRPr="000D406A">
        <w:rPr>
          <w:rFonts w:cs="David" w:hint="cs"/>
          <w:sz w:val="26"/>
          <w:szCs w:val="26"/>
          <w:rtl/>
        </w:rPr>
        <w:t>.</w:t>
      </w:r>
    </w:p>
    <w:p w:rsidR="00AD40D4" w:rsidRPr="000D406A" w:rsidRDefault="00AD40D4" w:rsidP="000D406A">
      <w:pPr>
        <w:spacing w:before="0" w:after="60" w:line="360" w:lineRule="auto"/>
        <w:rPr>
          <w:rFonts w:cs="David"/>
          <w:sz w:val="26"/>
          <w:szCs w:val="26"/>
          <w:rtl/>
        </w:rPr>
      </w:pPr>
      <w:r w:rsidRPr="000D406A">
        <w:rPr>
          <w:rFonts w:cs="David" w:hint="cs"/>
          <w:sz w:val="26"/>
          <w:szCs w:val="26"/>
          <w:rtl/>
        </w:rPr>
        <w:t xml:space="preserve">סעיף 5 </w:t>
      </w:r>
      <w:r w:rsidR="00833FE6" w:rsidRPr="000D406A">
        <w:rPr>
          <w:rFonts w:cs="David" w:hint="cs"/>
          <w:sz w:val="26"/>
          <w:szCs w:val="26"/>
          <w:rtl/>
        </w:rPr>
        <w:t>-</w:t>
      </w:r>
      <w:r w:rsidR="004525EF" w:rsidRPr="000D406A">
        <w:rPr>
          <w:rFonts w:cs="David" w:hint="cs"/>
          <w:sz w:val="26"/>
          <w:szCs w:val="26"/>
          <w:rtl/>
        </w:rPr>
        <w:t xml:space="preserve"> הפסד הכנסות מוערך ב</w:t>
      </w:r>
      <w:r w:rsidR="00833FE6" w:rsidRPr="000D406A">
        <w:rPr>
          <w:rFonts w:cs="David" w:hint="cs"/>
          <w:sz w:val="26"/>
          <w:szCs w:val="26"/>
          <w:rtl/>
        </w:rPr>
        <w:t>-50 מיליון ש"ח</w:t>
      </w:r>
      <w:r w:rsidRPr="000D406A">
        <w:rPr>
          <w:rFonts w:cs="David" w:hint="cs"/>
          <w:sz w:val="26"/>
          <w:szCs w:val="26"/>
          <w:rtl/>
        </w:rPr>
        <w:t xml:space="preserve"> בשנה</w:t>
      </w:r>
      <w:r w:rsidR="001F4CCE" w:rsidRPr="000D406A">
        <w:rPr>
          <w:rFonts w:cs="David" w:hint="cs"/>
          <w:sz w:val="26"/>
          <w:szCs w:val="26"/>
          <w:rtl/>
        </w:rPr>
        <w:t>.</w:t>
      </w:r>
    </w:p>
    <w:p w:rsidR="000802DC" w:rsidRPr="000D406A" w:rsidRDefault="00AD40D4" w:rsidP="000D406A">
      <w:pPr>
        <w:spacing w:before="0" w:after="60" w:line="360" w:lineRule="auto"/>
        <w:rPr>
          <w:rFonts w:cs="David"/>
          <w:sz w:val="26"/>
          <w:szCs w:val="26"/>
          <w:rtl/>
        </w:rPr>
      </w:pPr>
      <w:r w:rsidRPr="000D406A">
        <w:rPr>
          <w:rFonts w:cs="David" w:hint="cs"/>
          <w:sz w:val="26"/>
          <w:szCs w:val="26"/>
          <w:rtl/>
        </w:rPr>
        <w:t>סעיף 6</w:t>
      </w:r>
      <w:r w:rsidR="00833FE6" w:rsidRPr="000D406A">
        <w:rPr>
          <w:rFonts w:cs="David" w:hint="cs"/>
          <w:sz w:val="26"/>
          <w:szCs w:val="26"/>
          <w:rtl/>
        </w:rPr>
        <w:t xml:space="preserve"> </w:t>
      </w:r>
      <w:r w:rsidRPr="000D406A">
        <w:rPr>
          <w:rFonts w:cs="David" w:hint="cs"/>
          <w:sz w:val="26"/>
          <w:szCs w:val="26"/>
          <w:rtl/>
        </w:rPr>
        <w:t xml:space="preserve">- </w:t>
      </w:r>
      <w:r w:rsidR="00850C8D" w:rsidRPr="000D406A">
        <w:rPr>
          <w:rFonts w:cs="David" w:hint="cs"/>
          <w:sz w:val="26"/>
          <w:szCs w:val="26"/>
          <w:rtl/>
        </w:rPr>
        <w:t xml:space="preserve">הוצאה </w:t>
      </w:r>
      <w:r w:rsidR="00F76B8C" w:rsidRPr="000D406A">
        <w:rPr>
          <w:rFonts w:cs="David" w:hint="cs"/>
          <w:sz w:val="26"/>
          <w:szCs w:val="26"/>
          <w:rtl/>
        </w:rPr>
        <w:t>בסכום</w:t>
      </w:r>
      <w:r w:rsidR="00833FE6" w:rsidRPr="000D406A">
        <w:rPr>
          <w:rFonts w:cs="David" w:hint="cs"/>
          <w:sz w:val="26"/>
          <w:szCs w:val="26"/>
          <w:rtl/>
        </w:rPr>
        <w:t xml:space="preserve"> 750 מיליון ש"ח בשנת 2019, בלבד</w:t>
      </w:r>
      <w:r w:rsidR="00850C8D" w:rsidRPr="000D406A">
        <w:rPr>
          <w:rFonts w:cs="David" w:hint="cs"/>
          <w:sz w:val="26"/>
          <w:szCs w:val="26"/>
          <w:rtl/>
        </w:rPr>
        <w:t>.</w:t>
      </w:r>
    </w:p>
    <w:p w:rsidR="00833FE6" w:rsidRPr="000D406A" w:rsidRDefault="00833FE6" w:rsidP="000D406A">
      <w:pPr>
        <w:spacing w:before="0" w:after="60" w:line="360" w:lineRule="auto"/>
        <w:rPr>
          <w:rFonts w:cs="David"/>
          <w:sz w:val="26"/>
          <w:szCs w:val="26"/>
          <w:rtl/>
        </w:rPr>
      </w:pPr>
    </w:p>
    <w:p w:rsidR="00952165" w:rsidRPr="000D406A" w:rsidRDefault="00952165" w:rsidP="000D406A">
      <w:pPr>
        <w:widowControl/>
        <w:numPr>
          <w:ilvl w:val="0"/>
          <w:numId w:val="2"/>
        </w:numPr>
        <w:autoSpaceDE/>
        <w:autoSpaceDN/>
        <w:adjustRightInd/>
        <w:spacing w:before="0" w:after="60" w:line="360" w:lineRule="auto"/>
        <w:textAlignment w:val="auto"/>
        <w:rPr>
          <w:rFonts w:cs="David"/>
          <w:b/>
          <w:bCs/>
          <w:sz w:val="26"/>
          <w:szCs w:val="26"/>
          <w:u w:val="single"/>
        </w:rPr>
      </w:pPr>
      <w:r w:rsidRPr="000D406A">
        <w:rPr>
          <w:rFonts w:cs="David" w:hint="cs"/>
          <w:b/>
          <w:bCs/>
          <w:sz w:val="26"/>
          <w:szCs w:val="26"/>
          <w:u w:val="single"/>
          <w:rtl/>
        </w:rPr>
        <w:t>להלן</w:t>
      </w:r>
      <w:r w:rsidRPr="000D406A">
        <w:rPr>
          <w:rFonts w:cs="David"/>
          <w:b/>
          <w:bCs/>
          <w:sz w:val="26"/>
          <w:szCs w:val="26"/>
          <w:u w:val="single"/>
        </w:rPr>
        <w:t xml:space="preserve"> </w:t>
      </w:r>
      <w:r w:rsidRPr="000D406A">
        <w:rPr>
          <w:rFonts w:cs="David" w:hint="cs"/>
          <w:b/>
          <w:bCs/>
          <w:sz w:val="26"/>
          <w:szCs w:val="26"/>
          <w:u w:val="single"/>
          <w:rtl/>
        </w:rPr>
        <w:t>נוסח</w:t>
      </w:r>
      <w:r w:rsidRPr="000D406A">
        <w:rPr>
          <w:rFonts w:cs="David"/>
          <w:b/>
          <w:bCs/>
          <w:sz w:val="26"/>
          <w:szCs w:val="26"/>
          <w:u w:val="single"/>
        </w:rPr>
        <w:t xml:space="preserve"> </w:t>
      </w:r>
      <w:r w:rsidR="00090C08" w:rsidRPr="000D406A">
        <w:rPr>
          <w:rFonts w:cs="David" w:hint="cs"/>
          <w:b/>
          <w:bCs/>
          <w:sz w:val="26"/>
          <w:szCs w:val="26"/>
          <w:u w:val="single"/>
          <w:rtl/>
        </w:rPr>
        <w:t>החוק המוצע:</w:t>
      </w:r>
    </w:p>
    <w:p w:rsidR="00833FE6" w:rsidRPr="000D406A" w:rsidRDefault="00833FE6" w:rsidP="000D406A">
      <w:pPr>
        <w:widowControl/>
        <w:autoSpaceDE/>
        <w:autoSpaceDN/>
        <w:bidi w:val="0"/>
        <w:adjustRightInd/>
        <w:spacing w:before="0" w:line="360" w:lineRule="auto"/>
        <w:ind w:firstLine="0"/>
        <w:jc w:val="left"/>
        <w:textAlignment w:val="auto"/>
        <w:rPr>
          <w:rFonts w:ascii="Arial" w:eastAsia="Arial Unicode MS" w:hAnsi="Arial" w:cs="David"/>
          <w:b/>
          <w:bCs/>
          <w:snapToGrid w:val="0"/>
          <w:spacing w:val="0"/>
          <w:sz w:val="26"/>
          <w:szCs w:val="26"/>
        </w:rPr>
      </w:pPr>
      <w:r w:rsidRPr="000D406A">
        <w:rPr>
          <w:sz w:val="26"/>
          <w:szCs w:val="26"/>
          <w:rtl/>
        </w:rPr>
        <w:br w:type="page"/>
      </w:r>
    </w:p>
    <w:p w:rsidR="00833FE6" w:rsidRPr="000D406A" w:rsidRDefault="00833FE6" w:rsidP="000D406A">
      <w:pPr>
        <w:widowControl/>
        <w:autoSpaceDE/>
        <w:autoSpaceDN/>
        <w:adjustRightInd/>
        <w:spacing w:before="0" w:line="360" w:lineRule="auto"/>
        <w:ind w:left="360" w:firstLine="0"/>
        <w:jc w:val="center"/>
        <w:textAlignment w:val="auto"/>
        <w:rPr>
          <w:rFonts w:cs="David"/>
          <w:b/>
          <w:bCs/>
          <w:sz w:val="26"/>
          <w:szCs w:val="26"/>
          <w:rtl/>
        </w:rPr>
      </w:pPr>
      <w:r w:rsidRPr="000D406A">
        <w:rPr>
          <w:rFonts w:cs="David" w:hint="cs"/>
          <w:b/>
          <w:bCs/>
          <w:sz w:val="26"/>
          <w:szCs w:val="26"/>
          <w:rtl/>
        </w:rPr>
        <w:lastRenderedPageBreak/>
        <w:t>הצעת</w:t>
      </w:r>
      <w:r w:rsidRPr="000D406A">
        <w:rPr>
          <w:rFonts w:cs="David"/>
          <w:b/>
          <w:bCs/>
          <w:sz w:val="26"/>
          <w:szCs w:val="26"/>
          <w:rtl/>
        </w:rPr>
        <w:t xml:space="preserve"> חוק ה</w:t>
      </w:r>
      <w:r w:rsidRPr="000D406A">
        <w:rPr>
          <w:rFonts w:cs="David" w:hint="cs"/>
          <w:b/>
          <w:bCs/>
          <w:sz w:val="26"/>
          <w:szCs w:val="26"/>
          <w:rtl/>
        </w:rPr>
        <w:t>התייעלות</w:t>
      </w:r>
      <w:r w:rsidRPr="000D406A">
        <w:rPr>
          <w:rFonts w:cs="David"/>
          <w:b/>
          <w:bCs/>
          <w:sz w:val="26"/>
          <w:szCs w:val="26"/>
          <w:rtl/>
        </w:rPr>
        <w:t xml:space="preserve"> הכלכלית (תיקוני חקיקה</w:t>
      </w:r>
      <w:r w:rsidRPr="000D406A">
        <w:rPr>
          <w:rFonts w:cs="David" w:hint="cs"/>
          <w:b/>
          <w:bCs/>
          <w:sz w:val="26"/>
          <w:szCs w:val="26"/>
          <w:rtl/>
        </w:rPr>
        <w:t xml:space="preserve"> להשגת יעדי התקציב לשנת 2019</w:t>
      </w:r>
      <w:r w:rsidRPr="000D406A">
        <w:rPr>
          <w:rFonts w:cs="David"/>
          <w:b/>
          <w:bCs/>
          <w:sz w:val="26"/>
          <w:szCs w:val="26"/>
          <w:rtl/>
        </w:rPr>
        <w:t>), התשע"ח – 2018</w:t>
      </w:r>
      <w:r w:rsidRPr="000D406A">
        <w:rPr>
          <w:rFonts w:cs="David" w:hint="cs"/>
          <w:b/>
          <w:bCs/>
          <w:sz w:val="26"/>
          <w:szCs w:val="26"/>
          <w:rtl/>
        </w:rPr>
        <w:t xml:space="preserve">   </w:t>
      </w:r>
    </w:p>
    <w:p w:rsidR="00833FE6" w:rsidRPr="000D406A" w:rsidRDefault="00833FE6" w:rsidP="000D406A">
      <w:pPr>
        <w:widowControl/>
        <w:autoSpaceDE/>
        <w:autoSpaceDN/>
        <w:adjustRightInd/>
        <w:spacing w:before="0" w:line="360" w:lineRule="auto"/>
        <w:ind w:left="360" w:firstLine="0"/>
        <w:jc w:val="center"/>
        <w:textAlignment w:val="auto"/>
        <w:rPr>
          <w:rFonts w:cs="David"/>
          <w:b/>
          <w:bCs/>
          <w:sz w:val="26"/>
          <w:szCs w:val="26"/>
          <w:rtl/>
        </w:rPr>
      </w:pPr>
    </w:p>
    <w:p w:rsidR="00833FE6" w:rsidRPr="000D406A" w:rsidRDefault="00833FE6" w:rsidP="000D406A">
      <w:pPr>
        <w:widowControl/>
        <w:autoSpaceDE/>
        <w:autoSpaceDN/>
        <w:adjustRightInd/>
        <w:spacing w:before="0" w:line="360" w:lineRule="auto"/>
        <w:ind w:left="360" w:firstLine="0"/>
        <w:jc w:val="center"/>
        <w:textAlignment w:val="auto"/>
        <w:rPr>
          <w:rFonts w:cs="David"/>
          <w:b/>
          <w:bCs/>
          <w:sz w:val="26"/>
          <w:szCs w:val="26"/>
          <w:rtl/>
        </w:rPr>
      </w:pPr>
      <w:r w:rsidRPr="000D406A">
        <w:rPr>
          <w:rFonts w:cs="David"/>
          <w:b/>
          <w:bCs/>
          <w:sz w:val="26"/>
          <w:szCs w:val="26"/>
          <w:rtl/>
        </w:rPr>
        <w:t>פרק __':</w:t>
      </w:r>
      <w:r w:rsidRPr="000D406A">
        <w:rPr>
          <w:rFonts w:cs="David" w:hint="cs"/>
          <w:b/>
          <w:bCs/>
          <w:sz w:val="26"/>
          <w:szCs w:val="26"/>
          <w:rtl/>
        </w:rPr>
        <w:t xml:space="preserve"> מיסים</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59604A" w:rsidRPr="000D406A">
        <w:trPr>
          <w:cantSplit/>
          <w:trHeight w:val="60"/>
        </w:trPr>
        <w:tc>
          <w:tcPr>
            <w:tcW w:w="1871" w:type="dxa"/>
          </w:tcPr>
          <w:p w:rsidR="0059604A" w:rsidRPr="000D406A" w:rsidRDefault="0059604A" w:rsidP="000D406A">
            <w:pPr>
              <w:pStyle w:val="TableSideHeading"/>
              <w:keepLines w:val="0"/>
              <w:rPr>
                <w:sz w:val="26"/>
              </w:rPr>
            </w:pPr>
          </w:p>
        </w:tc>
        <w:tc>
          <w:tcPr>
            <w:tcW w:w="624" w:type="dxa"/>
          </w:tcPr>
          <w:p w:rsidR="0059604A" w:rsidRPr="000D406A" w:rsidRDefault="0059604A" w:rsidP="000D406A">
            <w:pPr>
              <w:pStyle w:val="TableText"/>
              <w:keepLines w:val="0"/>
              <w:rPr>
                <w:sz w:val="26"/>
              </w:rPr>
            </w:pPr>
          </w:p>
        </w:tc>
        <w:tc>
          <w:tcPr>
            <w:tcW w:w="7146" w:type="dxa"/>
            <w:gridSpan w:val="5"/>
          </w:tcPr>
          <w:p w:rsidR="0059604A" w:rsidRPr="000D406A" w:rsidRDefault="0059604A" w:rsidP="000D406A">
            <w:pPr>
              <w:pStyle w:val="TableBlock"/>
              <w:keepLines w:val="0"/>
              <w:rPr>
                <w:sz w:val="26"/>
                <w:rtl/>
              </w:rPr>
            </w:pPr>
          </w:p>
        </w:tc>
      </w:tr>
      <w:tr w:rsidR="00012350" w:rsidRPr="000D406A">
        <w:trPr>
          <w:cantSplit/>
          <w:trHeight w:val="60"/>
        </w:trPr>
        <w:tc>
          <w:tcPr>
            <w:tcW w:w="1871" w:type="dxa"/>
          </w:tcPr>
          <w:p w:rsidR="00012350" w:rsidRPr="000D406A" w:rsidRDefault="004A1477" w:rsidP="000D406A">
            <w:pPr>
              <w:pStyle w:val="TableSideHeading"/>
              <w:keepLines w:val="0"/>
              <w:rPr>
                <w:sz w:val="26"/>
              </w:rPr>
            </w:pPr>
            <w:r w:rsidRPr="000D406A">
              <w:rPr>
                <w:rFonts w:hint="cs"/>
                <w:sz w:val="26"/>
                <w:rtl/>
              </w:rPr>
              <w:t xml:space="preserve">תיקון חוק מס הכנסה (הגדלת נקודות זיכוי להורים </w:t>
            </w:r>
            <w:r w:rsidRPr="000D406A">
              <w:rPr>
                <w:sz w:val="26"/>
                <w:rtl/>
              </w:rPr>
              <w:t>–</w:t>
            </w:r>
            <w:r w:rsidR="00833FE6" w:rsidRPr="000D406A">
              <w:rPr>
                <w:rFonts w:hint="cs"/>
                <w:sz w:val="26"/>
                <w:rtl/>
              </w:rPr>
              <w:t xml:space="preserve"> הוראת שעה)</w:t>
            </w:r>
          </w:p>
        </w:tc>
        <w:tc>
          <w:tcPr>
            <w:tcW w:w="624" w:type="dxa"/>
          </w:tcPr>
          <w:p w:rsidR="00012350" w:rsidRPr="000D406A" w:rsidRDefault="00012350" w:rsidP="000D406A">
            <w:pPr>
              <w:pStyle w:val="TableText"/>
              <w:keepLines w:val="0"/>
              <w:numPr>
                <w:ilvl w:val="0"/>
                <w:numId w:val="1"/>
              </w:numPr>
              <w:rPr>
                <w:sz w:val="26"/>
              </w:rPr>
            </w:pPr>
          </w:p>
        </w:tc>
        <w:tc>
          <w:tcPr>
            <w:tcW w:w="7146" w:type="dxa"/>
            <w:gridSpan w:val="5"/>
          </w:tcPr>
          <w:p w:rsidR="00012350" w:rsidRPr="000D406A" w:rsidRDefault="00012350" w:rsidP="000D406A">
            <w:pPr>
              <w:pStyle w:val="TableBlock"/>
              <w:keepLines w:val="0"/>
              <w:rPr>
                <w:sz w:val="26"/>
              </w:rPr>
            </w:pPr>
            <w:r w:rsidRPr="000D406A">
              <w:rPr>
                <w:rFonts w:hint="cs"/>
                <w:sz w:val="26"/>
                <w:rtl/>
              </w:rPr>
              <w:t xml:space="preserve">בחוק מס הכנסה (הגדלת נקודות זיכוי להורים </w:t>
            </w:r>
            <w:r w:rsidRPr="000D406A">
              <w:rPr>
                <w:sz w:val="26"/>
                <w:rtl/>
              </w:rPr>
              <w:t>–</w:t>
            </w:r>
            <w:r w:rsidRPr="000D406A">
              <w:rPr>
                <w:rFonts w:hint="cs"/>
                <w:sz w:val="26"/>
                <w:rtl/>
              </w:rPr>
              <w:t xml:space="preserve"> הוראת שעה), התשע"ז-2017</w:t>
            </w:r>
            <w:r w:rsidR="00392456" w:rsidRPr="000D406A">
              <w:rPr>
                <w:rStyle w:val="a6"/>
                <w:sz w:val="26"/>
                <w:rtl/>
              </w:rPr>
              <w:footnoteReference w:id="2"/>
            </w:r>
            <w:r w:rsidRPr="000D406A">
              <w:rPr>
                <w:rFonts w:hint="cs"/>
                <w:sz w:val="26"/>
                <w:rtl/>
              </w:rPr>
              <w:t xml:space="preserve"> - </w:t>
            </w:r>
          </w:p>
        </w:tc>
      </w:tr>
      <w:tr w:rsidR="00012350" w:rsidRPr="000D406A">
        <w:trPr>
          <w:cantSplit/>
          <w:trHeight w:val="60"/>
        </w:trPr>
        <w:tc>
          <w:tcPr>
            <w:tcW w:w="1871" w:type="dxa"/>
          </w:tcPr>
          <w:p w:rsidR="00012350" w:rsidRPr="000D406A" w:rsidRDefault="00012350" w:rsidP="000D406A">
            <w:pPr>
              <w:pStyle w:val="TableSideHeading"/>
              <w:rPr>
                <w:sz w:val="26"/>
              </w:rPr>
            </w:pPr>
          </w:p>
        </w:tc>
        <w:tc>
          <w:tcPr>
            <w:tcW w:w="624" w:type="dxa"/>
          </w:tcPr>
          <w:p w:rsidR="00012350" w:rsidRPr="000D406A" w:rsidRDefault="00012350" w:rsidP="000D406A">
            <w:pPr>
              <w:pStyle w:val="TableText"/>
              <w:rPr>
                <w:sz w:val="26"/>
              </w:rPr>
            </w:pPr>
          </w:p>
        </w:tc>
        <w:tc>
          <w:tcPr>
            <w:tcW w:w="624" w:type="dxa"/>
          </w:tcPr>
          <w:p w:rsidR="00012350" w:rsidRPr="000D406A" w:rsidRDefault="00012350" w:rsidP="000D406A">
            <w:pPr>
              <w:pStyle w:val="TableText"/>
              <w:rPr>
                <w:sz w:val="26"/>
              </w:rPr>
            </w:pPr>
          </w:p>
        </w:tc>
        <w:tc>
          <w:tcPr>
            <w:tcW w:w="6522" w:type="dxa"/>
            <w:gridSpan w:val="4"/>
          </w:tcPr>
          <w:p w:rsidR="00012350" w:rsidRPr="000D406A" w:rsidRDefault="00012350" w:rsidP="000D406A">
            <w:pPr>
              <w:pStyle w:val="TableBlock"/>
              <w:numPr>
                <w:ilvl w:val="0"/>
                <w:numId w:val="24"/>
              </w:numPr>
              <w:tabs>
                <w:tab w:val="left" w:pos="624"/>
              </w:tabs>
              <w:rPr>
                <w:sz w:val="26"/>
              </w:rPr>
            </w:pPr>
            <w:r w:rsidRPr="000D406A">
              <w:rPr>
                <w:rFonts w:hint="cs"/>
                <w:sz w:val="26"/>
                <w:rtl/>
              </w:rPr>
              <w:t>בכותרת</w:t>
            </w:r>
            <w:r w:rsidR="00621FA2" w:rsidRPr="000D406A">
              <w:rPr>
                <w:rFonts w:hint="cs"/>
                <w:sz w:val="26"/>
                <w:rtl/>
              </w:rPr>
              <w:t>,</w:t>
            </w:r>
            <w:r w:rsidRPr="000D406A">
              <w:rPr>
                <w:rFonts w:hint="cs"/>
                <w:sz w:val="26"/>
                <w:rtl/>
              </w:rPr>
              <w:t xml:space="preserve"> המלים "הוראת שעה" </w:t>
            </w:r>
            <w:r w:rsidR="00833FE6" w:rsidRPr="000D406A">
              <w:rPr>
                <w:rFonts w:hint="cs"/>
                <w:sz w:val="26"/>
                <w:rtl/>
              </w:rPr>
              <w:t xml:space="preserve">- </w:t>
            </w:r>
            <w:r w:rsidRPr="000D406A">
              <w:rPr>
                <w:rFonts w:hint="cs"/>
                <w:sz w:val="26"/>
                <w:rtl/>
              </w:rPr>
              <w:t>ימחקו</w:t>
            </w:r>
            <w:r w:rsidR="00621FA2" w:rsidRPr="000D406A">
              <w:rPr>
                <w:rFonts w:hint="cs"/>
                <w:sz w:val="26"/>
                <w:rtl/>
              </w:rPr>
              <w:t>;</w:t>
            </w:r>
          </w:p>
        </w:tc>
      </w:tr>
      <w:tr w:rsidR="00012350" w:rsidRPr="000D406A">
        <w:trPr>
          <w:cantSplit/>
          <w:trHeight w:val="60"/>
        </w:trPr>
        <w:tc>
          <w:tcPr>
            <w:tcW w:w="1871" w:type="dxa"/>
          </w:tcPr>
          <w:p w:rsidR="00012350" w:rsidRPr="000D406A" w:rsidRDefault="00012350" w:rsidP="000D406A">
            <w:pPr>
              <w:pStyle w:val="TableSideHeading"/>
              <w:rPr>
                <w:sz w:val="26"/>
              </w:rPr>
            </w:pPr>
          </w:p>
        </w:tc>
        <w:tc>
          <w:tcPr>
            <w:tcW w:w="624" w:type="dxa"/>
          </w:tcPr>
          <w:p w:rsidR="00012350" w:rsidRPr="000D406A" w:rsidRDefault="00012350" w:rsidP="000D406A">
            <w:pPr>
              <w:pStyle w:val="TableText"/>
              <w:rPr>
                <w:sz w:val="26"/>
              </w:rPr>
            </w:pPr>
          </w:p>
        </w:tc>
        <w:tc>
          <w:tcPr>
            <w:tcW w:w="624" w:type="dxa"/>
          </w:tcPr>
          <w:p w:rsidR="00012350" w:rsidRPr="000D406A" w:rsidRDefault="00012350" w:rsidP="000D406A">
            <w:pPr>
              <w:pStyle w:val="TableText"/>
              <w:rPr>
                <w:sz w:val="26"/>
              </w:rPr>
            </w:pPr>
          </w:p>
        </w:tc>
        <w:tc>
          <w:tcPr>
            <w:tcW w:w="6522" w:type="dxa"/>
            <w:gridSpan w:val="4"/>
          </w:tcPr>
          <w:p w:rsidR="00012350" w:rsidRPr="000D406A" w:rsidRDefault="00012350" w:rsidP="000D406A">
            <w:pPr>
              <w:pStyle w:val="TableBlock"/>
              <w:numPr>
                <w:ilvl w:val="0"/>
                <w:numId w:val="24"/>
              </w:numPr>
              <w:tabs>
                <w:tab w:val="left" w:pos="624"/>
              </w:tabs>
              <w:rPr>
                <w:sz w:val="26"/>
                <w:rtl/>
              </w:rPr>
            </w:pPr>
            <w:r w:rsidRPr="000D406A">
              <w:rPr>
                <w:rFonts w:hint="cs"/>
                <w:sz w:val="26"/>
                <w:rtl/>
              </w:rPr>
              <w:t xml:space="preserve">בסעיף 1- </w:t>
            </w:r>
          </w:p>
        </w:tc>
      </w:tr>
      <w:tr w:rsidR="00710328" w:rsidRPr="000D406A">
        <w:trPr>
          <w:cantSplit/>
          <w:trHeight w:val="60"/>
        </w:trPr>
        <w:tc>
          <w:tcPr>
            <w:tcW w:w="1871" w:type="dxa"/>
          </w:tcPr>
          <w:p w:rsidR="00710328" w:rsidRPr="000D406A" w:rsidRDefault="00710328" w:rsidP="000D406A">
            <w:pPr>
              <w:pStyle w:val="TableSideHeading"/>
              <w:rPr>
                <w:sz w:val="26"/>
              </w:rPr>
            </w:pPr>
          </w:p>
        </w:tc>
        <w:tc>
          <w:tcPr>
            <w:tcW w:w="624" w:type="dxa"/>
          </w:tcPr>
          <w:p w:rsidR="00710328" w:rsidRPr="000D406A" w:rsidRDefault="00710328" w:rsidP="000D406A">
            <w:pPr>
              <w:pStyle w:val="TableText"/>
              <w:rPr>
                <w:sz w:val="26"/>
              </w:rPr>
            </w:pPr>
          </w:p>
        </w:tc>
        <w:tc>
          <w:tcPr>
            <w:tcW w:w="624" w:type="dxa"/>
          </w:tcPr>
          <w:p w:rsidR="00710328" w:rsidRPr="000D406A" w:rsidRDefault="00710328" w:rsidP="000D406A">
            <w:pPr>
              <w:pStyle w:val="TableText"/>
              <w:rPr>
                <w:sz w:val="26"/>
              </w:rPr>
            </w:pPr>
          </w:p>
        </w:tc>
        <w:tc>
          <w:tcPr>
            <w:tcW w:w="624" w:type="dxa"/>
          </w:tcPr>
          <w:p w:rsidR="00710328" w:rsidRPr="000D406A" w:rsidRDefault="00710328" w:rsidP="000D406A">
            <w:pPr>
              <w:pStyle w:val="TableText"/>
              <w:rPr>
                <w:sz w:val="26"/>
              </w:rPr>
            </w:pPr>
          </w:p>
        </w:tc>
        <w:tc>
          <w:tcPr>
            <w:tcW w:w="5898" w:type="dxa"/>
            <w:gridSpan w:val="3"/>
          </w:tcPr>
          <w:p w:rsidR="00710328" w:rsidRPr="000D406A" w:rsidRDefault="00710328" w:rsidP="000D406A">
            <w:pPr>
              <w:pStyle w:val="TableBlock"/>
              <w:numPr>
                <w:ilvl w:val="0"/>
                <w:numId w:val="26"/>
              </w:numPr>
              <w:tabs>
                <w:tab w:val="left" w:pos="624"/>
              </w:tabs>
              <w:rPr>
                <w:sz w:val="26"/>
              </w:rPr>
            </w:pPr>
            <w:r w:rsidRPr="000D406A">
              <w:rPr>
                <w:rFonts w:hint="cs"/>
                <w:sz w:val="26"/>
                <w:rtl/>
              </w:rPr>
              <w:t>ברישא, במקום האמור בה יבוא "בפקודת מס הכנסה"</w:t>
            </w:r>
            <w:r w:rsidR="00621FA2" w:rsidRPr="000D406A">
              <w:rPr>
                <w:rFonts w:hint="cs"/>
                <w:sz w:val="26"/>
                <w:rtl/>
              </w:rPr>
              <w:t>;</w:t>
            </w:r>
          </w:p>
        </w:tc>
      </w:tr>
      <w:tr w:rsidR="00012350" w:rsidRPr="000D406A">
        <w:trPr>
          <w:cantSplit/>
          <w:trHeight w:val="60"/>
        </w:trPr>
        <w:tc>
          <w:tcPr>
            <w:tcW w:w="1871" w:type="dxa"/>
          </w:tcPr>
          <w:p w:rsidR="00012350" w:rsidRPr="000D406A" w:rsidRDefault="00012350" w:rsidP="000D406A">
            <w:pPr>
              <w:pStyle w:val="TableSideHeading"/>
              <w:rPr>
                <w:sz w:val="26"/>
              </w:rPr>
            </w:pPr>
          </w:p>
        </w:tc>
        <w:tc>
          <w:tcPr>
            <w:tcW w:w="624" w:type="dxa"/>
          </w:tcPr>
          <w:p w:rsidR="00012350" w:rsidRPr="000D406A" w:rsidRDefault="00012350" w:rsidP="000D406A">
            <w:pPr>
              <w:pStyle w:val="TableText"/>
              <w:rPr>
                <w:sz w:val="26"/>
              </w:rPr>
            </w:pPr>
          </w:p>
        </w:tc>
        <w:tc>
          <w:tcPr>
            <w:tcW w:w="624" w:type="dxa"/>
          </w:tcPr>
          <w:p w:rsidR="00012350" w:rsidRPr="000D406A" w:rsidRDefault="00012350" w:rsidP="000D406A">
            <w:pPr>
              <w:pStyle w:val="TableText"/>
              <w:rPr>
                <w:sz w:val="26"/>
              </w:rPr>
            </w:pPr>
          </w:p>
        </w:tc>
        <w:tc>
          <w:tcPr>
            <w:tcW w:w="624" w:type="dxa"/>
          </w:tcPr>
          <w:p w:rsidR="00012350" w:rsidRPr="000D406A" w:rsidRDefault="00012350" w:rsidP="000D406A">
            <w:pPr>
              <w:pStyle w:val="TableText"/>
              <w:rPr>
                <w:sz w:val="26"/>
              </w:rPr>
            </w:pPr>
          </w:p>
        </w:tc>
        <w:tc>
          <w:tcPr>
            <w:tcW w:w="5898" w:type="dxa"/>
            <w:gridSpan w:val="3"/>
          </w:tcPr>
          <w:p w:rsidR="00012350" w:rsidRPr="000D406A" w:rsidRDefault="00710328" w:rsidP="000D406A">
            <w:pPr>
              <w:pStyle w:val="TableBlock"/>
              <w:numPr>
                <w:ilvl w:val="0"/>
                <w:numId w:val="26"/>
              </w:numPr>
              <w:tabs>
                <w:tab w:val="left" w:pos="624"/>
              </w:tabs>
              <w:rPr>
                <w:sz w:val="26"/>
              </w:rPr>
            </w:pPr>
            <w:r w:rsidRPr="000D406A">
              <w:rPr>
                <w:rFonts w:hint="cs"/>
                <w:sz w:val="26"/>
                <w:rtl/>
              </w:rPr>
              <w:t>בפסקה (1)(ג), במקום "</w:t>
            </w:r>
            <w:r w:rsidRPr="000D406A">
              <w:rPr>
                <w:sz w:val="26"/>
                <w:rtl/>
              </w:rPr>
              <w:t>היתה שנת לידתו של ילד באחת מהשנים 2017 או</w:t>
            </w:r>
            <w:r w:rsidR="004A1477" w:rsidRPr="000D406A">
              <w:rPr>
                <w:rFonts w:hint="cs"/>
                <w:sz w:val="26"/>
                <w:rtl/>
              </w:rPr>
              <w:t xml:space="preserve"> </w:t>
            </w:r>
            <w:r w:rsidR="00833FE6" w:rsidRPr="000D406A">
              <w:rPr>
                <w:sz w:val="26"/>
                <w:rtl/>
              </w:rPr>
              <w:t>2018</w:t>
            </w:r>
            <w:r w:rsidRPr="000D406A">
              <w:rPr>
                <w:sz w:val="26"/>
                <w:rtl/>
              </w:rPr>
              <w:t>,</w:t>
            </w:r>
            <w:r w:rsidR="00833FE6" w:rsidRPr="000D406A">
              <w:rPr>
                <w:rFonts w:hint="cs"/>
                <w:sz w:val="26"/>
                <w:rtl/>
              </w:rPr>
              <w:t xml:space="preserve"> </w:t>
            </w:r>
            <w:r w:rsidRPr="000D406A">
              <w:rPr>
                <w:sz w:val="26"/>
                <w:rtl/>
              </w:rPr>
              <w:t>תהיה זכאית אמו</w:t>
            </w:r>
            <w:r w:rsidRPr="000D406A">
              <w:rPr>
                <w:rFonts w:hint="cs"/>
                <w:sz w:val="26"/>
                <w:rtl/>
              </w:rPr>
              <w:t>" יבוא "אם תהיה זכאית"</w:t>
            </w:r>
            <w:r w:rsidR="00621FA2" w:rsidRPr="000D406A">
              <w:rPr>
                <w:rFonts w:hint="cs"/>
                <w:sz w:val="26"/>
                <w:rtl/>
              </w:rPr>
              <w:t>;</w:t>
            </w:r>
          </w:p>
        </w:tc>
      </w:tr>
      <w:tr w:rsidR="00012350" w:rsidRPr="000D406A">
        <w:trPr>
          <w:cantSplit/>
          <w:trHeight w:val="60"/>
        </w:trPr>
        <w:tc>
          <w:tcPr>
            <w:tcW w:w="1871" w:type="dxa"/>
          </w:tcPr>
          <w:p w:rsidR="00012350" w:rsidRPr="000D406A" w:rsidRDefault="00012350" w:rsidP="000D406A">
            <w:pPr>
              <w:pStyle w:val="TableSideHeading"/>
              <w:rPr>
                <w:sz w:val="26"/>
              </w:rPr>
            </w:pPr>
          </w:p>
        </w:tc>
        <w:tc>
          <w:tcPr>
            <w:tcW w:w="624" w:type="dxa"/>
          </w:tcPr>
          <w:p w:rsidR="00012350" w:rsidRPr="000D406A" w:rsidRDefault="00012350" w:rsidP="000D406A">
            <w:pPr>
              <w:pStyle w:val="TableText"/>
              <w:rPr>
                <w:sz w:val="26"/>
              </w:rPr>
            </w:pPr>
          </w:p>
        </w:tc>
        <w:tc>
          <w:tcPr>
            <w:tcW w:w="624" w:type="dxa"/>
          </w:tcPr>
          <w:p w:rsidR="00012350" w:rsidRPr="000D406A" w:rsidRDefault="00012350" w:rsidP="000D406A">
            <w:pPr>
              <w:pStyle w:val="TableText"/>
              <w:rPr>
                <w:sz w:val="26"/>
              </w:rPr>
            </w:pPr>
          </w:p>
        </w:tc>
        <w:tc>
          <w:tcPr>
            <w:tcW w:w="624" w:type="dxa"/>
          </w:tcPr>
          <w:p w:rsidR="00012350" w:rsidRPr="000D406A" w:rsidRDefault="00012350" w:rsidP="000D406A">
            <w:pPr>
              <w:pStyle w:val="TableText"/>
              <w:rPr>
                <w:sz w:val="26"/>
              </w:rPr>
            </w:pPr>
          </w:p>
        </w:tc>
        <w:tc>
          <w:tcPr>
            <w:tcW w:w="5898" w:type="dxa"/>
            <w:gridSpan w:val="3"/>
          </w:tcPr>
          <w:p w:rsidR="00012350" w:rsidRPr="000D406A" w:rsidRDefault="00710328" w:rsidP="000D406A">
            <w:pPr>
              <w:pStyle w:val="TableBlock"/>
              <w:numPr>
                <w:ilvl w:val="0"/>
                <w:numId w:val="26"/>
              </w:numPr>
              <w:tabs>
                <w:tab w:val="left" w:pos="624"/>
              </w:tabs>
              <w:rPr>
                <w:sz w:val="26"/>
              </w:rPr>
            </w:pPr>
            <w:r w:rsidRPr="000D406A">
              <w:rPr>
                <w:rFonts w:hint="cs"/>
                <w:sz w:val="26"/>
                <w:rtl/>
              </w:rPr>
              <w:t>בפסקה (2)(א)(2), במקום "</w:t>
            </w:r>
            <w:r w:rsidRPr="000D406A">
              <w:rPr>
                <w:sz w:val="26"/>
                <w:rtl/>
              </w:rPr>
              <w:t>היתה שנת לידתו של ילד באחת מהשנים 2017 או</w:t>
            </w:r>
            <w:r w:rsidR="001C190E" w:rsidRPr="000D406A">
              <w:rPr>
                <w:rFonts w:hint="cs"/>
                <w:sz w:val="26"/>
                <w:rtl/>
              </w:rPr>
              <w:t xml:space="preserve"> </w:t>
            </w:r>
            <w:r w:rsidRPr="000D406A">
              <w:rPr>
                <w:sz w:val="26"/>
                <w:rtl/>
              </w:rPr>
              <w:t>2018,</w:t>
            </w:r>
            <w:r w:rsidR="00193DFE" w:rsidRPr="000D406A">
              <w:rPr>
                <w:rFonts w:hint="cs"/>
                <w:sz w:val="26"/>
                <w:rtl/>
              </w:rPr>
              <w:t xml:space="preserve"> </w:t>
            </w:r>
            <w:r w:rsidRPr="000D406A">
              <w:rPr>
                <w:sz w:val="26"/>
                <w:rtl/>
              </w:rPr>
              <w:t>תהיה זכאית אמו</w:t>
            </w:r>
            <w:r w:rsidRPr="000D406A">
              <w:rPr>
                <w:rFonts w:hint="cs"/>
                <w:sz w:val="26"/>
                <w:rtl/>
              </w:rPr>
              <w:t>" יבוא "אם תהיה זכאית"</w:t>
            </w:r>
            <w:r w:rsidR="00833FE6" w:rsidRPr="000D406A">
              <w:rPr>
                <w:rFonts w:hint="cs"/>
                <w:sz w:val="26"/>
                <w:rtl/>
              </w:rPr>
              <w:t>.</w:t>
            </w:r>
          </w:p>
        </w:tc>
      </w:tr>
      <w:tr w:rsidR="004A1477" w:rsidRPr="000D406A">
        <w:trPr>
          <w:cantSplit/>
          <w:trHeight w:val="60"/>
        </w:trPr>
        <w:tc>
          <w:tcPr>
            <w:tcW w:w="1871" w:type="dxa"/>
          </w:tcPr>
          <w:p w:rsidR="004A1477" w:rsidRPr="000D406A" w:rsidRDefault="002C2C6D" w:rsidP="000D406A">
            <w:pPr>
              <w:pStyle w:val="TableSideHeading"/>
              <w:keepLines w:val="0"/>
              <w:rPr>
                <w:sz w:val="26"/>
              </w:rPr>
            </w:pPr>
            <w:r w:rsidRPr="000D406A">
              <w:rPr>
                <w:rFonts w:hint="cs"/>
                <w:sz w:val="26"/>
                <w:rtl/>
              </w:rPr>
              <w:t xml:space="preserve">תיקון </w:t>
            </w:r>
            <w:r w:rsidR="00F26B20" w:rsidRPr="000D406A">
              <w:rPr>
                <w:rFonts w:hint="cs"/>
                <w:sz w:val="26"/>
                <w:rtl/>
              </w:rPr>
              <w:t>חוק לשינוי סדרי עדיפויות לאומיים (תיקוני חקיקה להשגת יעדי התקציב</w:t>
            </w:r>
            <w:r w:rsidR="00833FE6" w:rsidRPr="000D406A">
              <w:rPr>
                <w:rFonts w:hint="cs"/>
                <w:sz w:val="26"/>
                <w:rtl/>
              </w:rPr>
              <w:t xml:space="preserve"> לשנים 2013 ו-2014)</w:t>
            </w:r>
          </w:p>
        </w:tc>
        <w:tc>
          <w:tcPr>
            <w:tcW w:w="624" w:type="dxa"/>
          </w:tcPr>
          <w:p w:rsidR="004A1477" w:rsidRPr="000D406A" w:rsidRDefault="004A1477" w:rsidP="000D406A">
            <w:pPr>
              <w:pStyle w:val="TableText"/>
              <w:keepLines w:val="0"/>
              <w:numPr>
                <w:ilvl w:val="0"/>
                <w:numId w:val="1"/>
              </w:numPr>
              <w:rPr>
                <w:sz w:val="26"/>
              </w:rPr>
            </w:pPr>
          </w:p>
        </w:tc>
        <w:tc>
          <w:tcPr>
            <w:tcW w:w="7146" w:type="dxa"/>
            <w:gridSpan w:val="5"/>
          </w:tcPr>
          <w:p w:rsidR="004A1477" w:rsidRPr="000D406A" w:rsidRDefault="004A1477" w:rsidP="000D406A">
            <w:pPr>
              <w:pStyle w:val="TableBlock"/>
              <w:keepLines w:val="0"/>
              <w:rPr>
                <w:sz w:val="26"/>
              </w:rPr>
            </w:pPr>
            <w:r w:rsidRPr="000D406A">
              <w:rPr>
                <w:rFonts w:hint="cs"/>
                <w:sz w:val="26"/>
                <w:rtl/>
              </w:rPr>
              <w:t>בחוק לשינוי סדרי עדיפויות לאומיים (תיקוני חקיקה להשגת יעדי התקציב לשנים 2013 ו-2014), התשע"ג-2013</w:t>
            </w:r>
            <w:r w:rsidR="00453B09" w:rsidRPr="000D406A">
              <w:rPr>
                <w:rStyle w:val="a6"/>
                <w:sz w:val="26"/>
                <w:rtl/>
              </w:rPr>
              <w:footnoteReference w:id="3"/>
            </w:r>
            <w:r w:rsidRPr="000D406A">
              <w:rPr>
                <w:rFonts w:hint="cs"/>
                <w:sz w:val="26"/>
                <w:rtl/>
              </w:rPr>
              <w:t>, בסעיף (40)(2), במקום "כ"ג בטבת התשע"ט (31 בדצמבר 2018)</w:t>
            </w:r>
            <w:r w:rsidR="00833FE6" w:rsidRPr="000D406A">
              <w:rPr>
                <w:rFonts w:hint="cs"/>
                <w:sz w:val="26"/>
                <w:rtl/>
              </w:rPr>
              <w:t>"</w:t>
            </w:r>
            <w:r w:rsidRPr="000D406A">
              <w:rPr>
                <w:rFonts w:hint="cs"/>
                <w:sz w:val="26"/>
                <w:rtl/>
              </w:rPr>
              <w:t xml:space="preserve"> יבוא "י"ד בטבת התשפ"ו (31 בדצמבר 2025)</w:t>
            </w:r>
            <w:r w:rsidR="00833FE6" w:rsidRPr="000D406A">
              <w:rPr>
                <w:rFonts w:hint="cs"/>
                <w:sz w:val="26"/>
                <w:rtl/>
              </w:rPr>
              <w:t>".</w:t>
            </w:r>
          </w:p>
        </w:tc>
      </w:tr>
      <w:tr w:rsidR="0059604A" w:rsidRPr="000D406A">
        <w:trPr>
          <w:cantSplit/>
          <w:trHeight w:val="60"/>
        </w:trPr>
        <w:tc>
          <w:tcPr>
            <w:tcW w:w="1871" w:type="dxa"/>
          </w:tcPr>
          <w:p w:rsidR="0059604A" w:rsidRPr="000D406A" w:rsidRDefault="00CE7A79" w:rsidP="000D406A">
            <w:pPr>
              <w:pStyle w:val="TableSideHeading"/>
              <w:keepLines w:val="0"/>
              <w:rPr>
                <w:sz w:val="26"/>
              </w:rPr>
            </w:pPr>
            <w:r w:rsidRPr="000D406A">
              <w:rPr>
                <w:rFonts w:hint="cs"/>
                <w:sz w:val="26"/>
                <w:rtl/>
              </w:rPr>
              <w:t xml:space="preserve">תיקון חוק שירות </w:t>
            </w:r>
            <w:r w:rsidR="000D406A">
              <w:rPr>
                <w:rFonts w:hint="cs"/>
                <w:sz w:val="26"/>
                <w:rtl/>
              </w:rPr>
              <w:t>ה</w:t>
            </w:r>
            <w:r w:rsidRPr="000D406A">
              <w:rPr>
                <w:rFonts w:hint="cs"/>
                <w:sz w:val="26"/>
                <w:rtl/>
              </w:rPr>
              <w:t>מילואים</w:t>
            </w:r>
            <w:r w:rsidR="002C2C6D" w:rsidRPr="000D406A">
              <w:rPr>
                <w:rFonts w:hint="cs"/>
                <w:sz w:val="26"/>
                <w:rtl/>
              </w:rPr>
              <w:t xml:space="preserve"> </w:t>
            </w:r>
          </w:p>
        </w:tc>
        <w:tc>
          <w:tcPr>
            <w:tcW w:w="624" w:type="dxa"/>
          </w:tcPr>
          <w:p w:rsidR="0059604A" w:rsidRPr="000D406A" w:rsidRDefault="0059604A" w:rsidP="000D406A">
            <w:pPr>
              <w:pStyle w:val="TableText"/>
              <w:keepLines w:val="0"/>
              <w:numPr>
                <w:ilvl w:val="0"/>
                <w:numId w:val="1"/>
              </w:numPr>
              <w:rPr>
                <w:sz w:val="26"/>
              </w:rPr>
            </w:pPr>
          </w:p>
        </w:tc>
        <w:tc>
          <w:tcPr>
            <w:tcW w:w="7146" w:type="dxa"/>
            <w:gridSpan w:val="5"/>
          </w:tcPr>
          <w:p w:rsidR="0059604A" w:rsidRPr="000D406A" w:rsidRDefault="0059604A" w:rsidP="000D406A">
            <w:pPr>
              <w:pStyle w:val="TableBlock"/>
              <w:keepLines w:val="0"/>
              <w:rPr>
                <w:sz w:val="26"/>
              </w:rPr>
            </w:pPr>
            <w:r w:rsidRPr="000D406A">
              <w:rPr>
                <w:rFonts w:hint="cs"/>
                <w:sz w:val="26"/>
                <w:rtl/>
              </w:rPr>
              <w:t xml:space="preserve">בחוק </w:t>
            </w:r>
            <w:r w:rsidRPr="000D406A">
              <w:rPr>
                <w:sz w:val="26"/>
                <w:rtl/>
              </w:rPr>
              <w:t>שירות המילואים, התשס"ח–2008</w:t>
            </w:r>
            <w:r w:rsidR="001C190E" w:rsidRPr="000D406A">
              <w:rPr>
                <w:rStyle w:val="a6"/>
                <w:sz w:val="26"/>
                <w:rtl/>
              </w:rPr>
              <w:footnoteReference w:id="4"/>
            </w:r>
            <w:r w:rsidR="001C190E" w:rsidRPr="000D406A">
              <w:rPr>
                <w:rFonts w:hint="cs"/>
                <w:sz w:val="26"/>
                <w:rtl/>
              </w:rPr>
              <w:t xml:space="preserve"> - </w:t>
            </w:r>
          </w:p>
        </w:tc>
      </w:tr>
      <w:tr w:rsidR="00CE7A79" w:rsidRPr="000D406A">
        <w:trPr>
          <w:cantSplit/>
          <w:trHeight w:val="60"/>
        </w:trPr>
        <w:tc>
          <w:tcPr>
            <w:tcW w:w="1871" w:type="dxa"/>
          </w:tcPr>
          <w:p w:rsidR="00CE7A79" w:rsidRPr="000D406A" w:rsidRDefault="00CE7A79" w:rsidP="000D406A">
            <w:pPr>
              <w:pStyle w:val="TableSideHeading"/>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522" w:type="dxa"/>
            <w:gridSpan w:val="4"/>
          </w:tcPr>
          <w:p w:rsidR="00CE7A79" w:rsidRPr="000D406A" w:rsidRDefault="00CE7A79" w:rsidP="000D406A">
            <w:pPr>
              <w:pStyle w:val="TableBlock"/>
              <w:numPr>
                <w:ilvl w:val="0"/>
                <w:numId w:val="22"/>
              </w:numPr>
              <w:tabs>
                <w:tab w:val="left" w:pos="624"/>
              </w:tabs>
              <w:rPr>
                <w:sz w:val="26"/>
              </w:rPr>
            </w:pPr>
            <w:r w:rsidRPr="000D406A">
              <w:rPr>
                <w:rFonts w:hint="cs"/>
                <w:sz w:val="26"/>
                <w:rtl/>
              </w:rPr>
              <w:t>בסעיף 18(ג) פסקאות (2) עד (5) יימחקו;</w:t>
            </w:r>
          </w:p>
        </w:tc>
      </w:tr>
      <w:tr w:rsidR="00CE7A79" w:rsidRPr="000D406A">
        <w:trPr>
          <w:cantSplit/>
          <w:trHeight w:val="60"/>
        </w:trPr>
        <w:tc>
          <w:tcPr>
            <w:tcW w:w="1871" w:type="dxa"/>
          </w:tcPr>
          <w:p w:rsidR="00CE7A79" w:rsidRPr="000D406A" w:rsidRDefault="00CE7A79" w:rsidP="000D406A">
            <w:pPr>
              <w:pStyle w:val="TableSideHeading"/>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522" w:type="dxa"/>
            <w:gridSpan w:val="4"/>
          </w:tcPr>
          <w:p w:rsidR="00CE7A79" w:rsidRPr="000D406A" w:rsidRDefault="00444D46" w:rsidP="000D406A">
            <w:pPr>
              <w:pStyle w:val="TableBlock"/>
              <w:numPr>
                <w:ilvl w:val="0"/>
                <w:numId w:val="22"/>
              </w:numPr>
              <w:tabs>
                <w:tab w:val="left" w:pos="624"/>
              </w:tabs>
              <w:rPr>
                <w:sz w:val="26"/>
                <w:rtl/>
              </w:rPr>
            </w:pPr>
            <w:r w:rsidRPr="000D406A">
              <w:rPr>
                <w:rFonts w:hint="cs"/>
                <w:sz w:val="26"/>
                <w:rtl/>
              </w:rPr>
              <w:t>בסעיף 19</w:t>
            </w:r>
            <w:r w:rsidR="00CE7A79" w:rsidRPr="000D406A">
              <w:rPr>
                <w:rFonts w:hint="cs"/>
                <w:sz w:val="26"/>
                <w:rtl/>
              </w:rPr>
              <w:t xml:space="preserve">, אחרי סעיף קטן (ד) יבוא:  </w:t>
            </w:r>
          </w:p>
        </w:tc>
      </w:tr>
      <w:tr w:rsidR="00CE7A79" w:rsidRPr="000D406A">
        <w:trPr>
          <w:cantSplit/>
          <w:trHeight w:val="60"/>
        </w:trPr>
        <w:tc>
          <w:tcPr>
            <w:tcW w:w="1871" w:type="dxa"/>
          </w:tcPr>
          <w:p w:rsidR="00833FE6" w:rsidRPr="000D406A" w:rsidRDefault="00833FE6" w:rsidP="000D406A">
            <w:pPr>
              <w:pStyle w:val="TableSideHeading"/>
              <w:rPr>
                <w:sz w:val="26"/>
                <w:rtl/>
              </w:rPr>
            </w:pPr>
          </w:p>
          <w:p w:rsidR="00833FE6" w:rsidRPr="000D406A" w:rsidRDefault="00833FE6" w:rsidP="000D406A">
            <w:pPr>
              <w:pStyle w:val="TableSideHeading"/>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5898" w:type="dxa"/>
            <w:gridSpan w:val="3"/>
          </w:tcPr>
          <w:p w:rsidR="00833FE6" w:rsidRPr="000D406A" w:rsidRDefault="00833FE6" w:rsidP="000D406A">
            <w:pPr>
              <w:pStyle w:val="TableBlock"/>
              <w:rPr>
                <w:sz w:val="26"/>
                <w:rtl/>
              </w:rPr>
            </w:pPr>
          </w:p>
          <w:p w:rsidR="00833FE6" w:rsidRPr="000D406A" w:rsidRDefault="00833FE6" w:rsidP="000D406A">
            <w:pPr>
              <w:pStyle w:val="TableBlock"/>
              <w:rPr>
                <w:sz w:val="26"/>
                <w:rtl/>
              </w:rPr>
            </w:pPr>
          </w:p>
          <w:p w:rsidR="00833FE6" w:rsidRPr="000D406A" w:rsidRDefault="00833FE6" w:rsidP="000D406A">
            <w:pPr>
              <w:pStyle w:val="TableBlock"/>
              <w:rPr>
                <w:sz w:val="26"/>
                <w:rtl/>
              </w:rPr>
            </w:pPr>
          </w:p>
          <w:p w:rsidR="00CE7A79" w:rsidRPr="000D406A" w:rsidRDefault="00CE7A79" w:rsidP="000D406A">
            <w:pPr>
              <w:pStyle w:val="TableBlock"/>
              <w:rPr>
                <w:sz w:val="26"/>
              </w:rPr>
            </w:pPr>
            <w:r w:rsidRPr="000D406A">
              <w:rPr>
                <w:rFonts w:hint="cs"/>
                <w:sz w:val="26"/>
                <w:rtl/>
              </w:rPr>
              <w:t>"(ה)</w:t>
            </w:r>
          </w:p>
        </w:tc>
      </w:tr>
      <w:tr w:rsidR="00CE7A79" w:rsidRPr="000D406A">
        <w:trPr>
          <w:cantSplit/>
          <w:trHeight w:val="60"/>
        </w:trPr>
        <w:tc>
          <w:tcPr>
            <w:tcW w:w="1871" w:type="dxa"/>
          </w:tcPr>
          <w:p w:rsidR="00CE7A79" w:rsidRPr="000D406A" w:rsidRDefault="00CE7A79" w:rsidP="000D406A">
            <w:pPr>
              <w:pStyle w:val="TableSideHeading"/>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5274" w:type="dxa"/>
            <w:gridSpan w:val="2"/>
          </w:tcPr>
          <w:p w:rsidR="00CE7A79" w:rsidRPr="000D406A" w:rsidRDefault="00CE7A79" w:rsidP="000D406A">
            <w:pPr>
              <w:pStyle w:val="TableBlock"/>
              <w:numPr>
                <w:ilvl w:val="0"/>
                <w:numId w:val="23"/>
              </w:numPr>
              <w:rPr>
                <w:sz w:val="26"/>
              </w:rPr>
            </w:pPr>
            <w:r w:rsidRPr="000D406A">
              <w:rPr>
                <w:rFonts w:hint="cs"/>
                <w:sz w:val="26"/>
                <w:rtl/>
              </w:rPr>
              <w:t>מקבל התגמול הנוסף חייב במס הכנסה בשיעור של 25% (בסעיף זה – המס המיוחד), ללא זכות לניכוי, לקיזוז, לפטור או להפחתה כלשהם;</w:t>
            </w:r>
          </w:p>
        </w:tc>
      </w:tr>
      <w:tr w:rsidR="00CE7A79" w:rsidRPr="000D406A">
        <w:trPr>
          <w:cantSplit/>
          <w:trHeight w:val="60"/>
        </w:trPr>
        <w:tc>
          <w:tcPr>
            <w:tcW w:w="1871" w:type="dxa"/>
          </w:tcPr>
          <w:p w:rsidR="00CE7A79" w:rsidRPr="000D406A" w:rsidRDefault="00CE7A79" w:rsidP="000D406A">
            <w:pPr>
              <w:pStyle w:val="TableSideHeading"/>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5274" w:type="dxa"/>
            <w:gridSpan w:val="2"/>
          </w:tcPr>
          <w:p w:rsidR="00CE7A79" w:rsidRPr="000D406A" w:rsidRDefault="00CE7A79" w:rsidP="000D406A">
            <w:pPr>
              <w:pStyle w:val="TableBlock"/>
              <w:numPr>
                <w:ilvl w:val="0"/>
                <w:numId w:val="23"/>
              </w:numPr>
              <w:rPr>
                <w:sz w:val="26"/>
                <w:rtl/>
              </w:rPr>
            </w:pPr>
            <w:r w:rsidRPr="000D406A">
              <w:rPr>
                <w:rFonts w:hint="cs"/>
                <w:sz w:val="26"/>
                <w:rtl/>
              </w:rPr>
              <w:t>המשלם ינכה מתשלום התגמול הנוסף, את המס המיוחד וישלמו לפקיד השומה, כהגדרתו בפקודה, בצירוף דין וחשבון שיגיש באותו מועד;</w:t>
            </w:r>
          </w:p>
        </w:tc>
      </w:tr>
      <w:tr w:rsidR="00CE7A79" w:rsidRPr="000D406A">
        <w:trPr>
          <w:cantSplit/>
          <w:trHeight w:val="60"/>
        </w:trPr>
        <w:tc>
          <w:tcPr>
            <w:tcW w:w="1871" w:type="dxa"/>
          </w:tcPr>
          <w:p w:rsidR="00CE7A79" w:rsidRPr="000D406A" w:rsidRDefault="00CE7A79" w:rsidP="000D406A">
            <w:pPr>
              <w:pStyle w:val="TableSideHeading"/>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5274" w:type="dxa"/>
            <w:gridSpan w:val="2"/>
          </w:tcPr>
          <w:p w:rsidR="00CE7A79" w:rsidRPr="000D406A" w:rsidRDefault="00CE7A79" w:rsidP="000D406A">
            <w:pPr>
              <w:pStyle w:val="TableBlock"/>
              <w:numPr>
                <w:ilvl w:val="0"/>
                <w:numId w:val="23"/>
              </w:numPr>
              <w:rPr>
                <w:sz w:val="26"/>
                <w:rtl/>
              </w:rPr>
            </w:pPr>
            <w:r w:rsidRPr="000D406A">
              <w:rPr>
                <w:rFonts w:hint="cs"/>
                <w:sz w:val="26"/>
                <w:rtl/>
              </w:rPr>
              <w:t>יראו את המס הנוסף כמס הכנסה לעניין שומה, גביה ועונשין לפי הפקודה; על ניכוי המס הנוסף יחולו הוראות לפי סעיף 164 לפקודה, כאילו היה ניכוי מס שהמשלם חייב בו;</w:t>
            </w:r>
          </w:p>
        </w:tc>
      </w:tr>
      <w:tr w:rsidR="00CE7A79" w:rsidRPr="000D406A">
        <w:trPr>
          <w:cantSplit/>
          <w:trHeight w:val="60"/>
        </w:trPr>
        <w:tc>
          <w:tcPr>
            <w:tcW w:w="1871" w:type="dxa"/>
          </w:tcPr>
          <w:p w:rsidR="00CE7A79" w:rsidRPr="000D406A" w:rsidRDefault="00CE7A79" w:rsidP="000D406A">
            <w:pPr>
              <w:pStyle w:val="TableSideHeading"/>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624" w:type="dxa"/>
          </w:tcPr>
          <w:p w:rsidR="00CE7A79" w:rsidRPr="000D406A" w:rsidRDefault="00CE7A79" w:rsidP="000D406A">
            <w:pPr>
              <w:pStyle w:val="TableText"/>
              <w:rPr>
                <w:sz w:val="26"/>
              </w:rPr>
            </w:pPr>
          </w:p>
        </w:tc>
        <w:tc>
          <w:tcPr>
            <w:tcW w:w="5274" w:type="dxa"/>
            <w:gridSpan w:val="2"/>
          </w:tcPr>
          <w:p w:rsidR="00CE7A79" w:rsidRPr="000D406A" w:rsidRDefault="00CE7A79" w:rsidP="000D406A">
            <w:pPr>
              <w:pStyle w:val="TableBlock"/>
              <w:numPr>
                <w:ilvl w:val="0"/>
                <w:numId w:val="23"/>
              </w:numPr>
              <w:rPr>
                <w:sz w:val="26"/>
                <w:rtl/>
              </w:rPr>
            </w:pPr>
            <w:r w:rsidRPr="000D406A">
              <w:rPr>
                <w:rFonts w:hint="cs"/>
                <w:sz w:val="26"/>
                <w:rtl/>
              </w:rPr>
              <w:t>שר האוצר רשאי, בהסכמת השר, להתקין תקנות בכל הנוגע לביצוע סעיף קטן זה."</w:t>
            </w:r>
            <w:r w:rsidR="00833FE6" w:rsidRPr="000D406A">
              <w:rPr>
                <w:rFonts w:hint="cs"/>
                <w:sz w:val="26"/>
                <w:rtl/>
              </w:rPr>
              <w:t>.</w:t>
            </w:r>
          </w:p>
        </w:tc>
      </w:tr>
      <w:tr w:rsidR="0059604A" w:rsidRPr="000D406A">
        <w:trPr>
          <w:cantSplit/>
          <w:trHeight w:val="60"/>
        </w:trPr>
        <w:tc>
          <w:tcPr>
            <w:tcW w:w="1871" w:type="dxa"/>
          </w:tcPr>
          <w:p w:rsidR="0059604A" w:rsidRPr="000D406A" w:rsidRDefault="00F26B20" w:rsidP="000D406A">
            <w:pPr>
              <w:pStyle w:val="TableSideHeading"/>
              <w:keepLines w:val="0"/>
              <w:rPr>
                <w:sz w:val="26"/>
              </w:rPr>
            </w:pPr>
            <w:r w:rsidRPr="000D406A">
              <w:rPr>
                <w:rFonts w:hint="cs"/>
                <w:sz w:val="26"/>
                <w:rtl/>
              </w:rPr>
              <w:t>תיקון פקודת מס הכנסה</w:t>
            </w:r>
            <w:r w:rsidR="002C2C6D" w:rsidRPr="000D406A">
              <w:rPr>
                <w:rFonts w:hint="cs"/>
                <w:sz w:val="26"/>
                <w:rtl/>
              </w:rPr>
              <w:t xml:space="preserve"> [נוסח חדש]</w:t>
            </w:r>
          </w:p>
        </w:tc>
        <w:tc>
          <w:tcPr>
            <w:tcW w:w="624" w:type="dxa"/>
          </w:tcPr>
          <w:p w:rsidR="0059604A" w:rsidRPr="000D406A" w:rsidRDefault="0059604A" w:rsidP="000D406A">
            <w:pPr>
              <w:pStyle w:val="TableText"/>
              <w:keepLines w:val="0"/>
              <w:numPr>
                <w:ilvl w:val="0"/>
                <w:numId w:val="1"/>
              </w:numPr>
              <w:rPr>
                <w:sz w:val="26"/>
              </w:rPr>
            </w:pPr>
          </w:p>
        </w:tc>
        <w:tc>
          <w:tcPr>
            <w:tcW w:w="7146" w:type="dxa"/>
            <w:gridSpan w:val="5"/>
          </w:tcPr>
          <w:p w:rsidR="0059604A" w:rsidRPr="000D406A" w:rsidRDefault="00F26B20" w:rsidP="000D406A">
            <w:pPr>
              <w:pStyle w:val="TableBlock"/>
              <w:keepLines w:val="0"/>
              <w:rPr>
                <w:sz w:val="26"/>
              </w:rPr>
            </w:pPr>
            <w:r w:rsidRPr="000D406A">
              <w:rPr>
                <w:rFonts w:hint="cs"/>
                <w:sz w:val="26"/>
                <w:rtl/>
              </w:rPr>
              <w:t>בפקודת מס הכנסה [נוסח חדש]</w:t>
            </w:r>
            <w:r w:rsidR="008753DB" w:rsidRPr="000D406A">
              <w:rPr>
                <w:rStyle w:val="a6"/>
                <w:sz w:val="26"/>
                <w:rtl/>
              </w:rPr>
              <w:footnoteReference w:id="5"/>
            </w:r>
            <w:r w:rsidR="00833FE6" w:rsidRPr="000D406A">
              <w:rPr>
                <w:rFonts w:hint="cs"/>
                <w:sz w:val="26"/>
                <w:rtl/>
              </w:rPr>
              <w:t xml:space="preserve"> </w:t>
            </w:r>
            <w:r w:rsidRPr="000D406A">
              <w:rPr>
                <w:rFonts w:hint="cs"/>
                <w:sz w:val="26"/>
                <w:rtl/>
              </w:rPr>
              <w:t>-</w:t>
            </w:r>
          </w:p>
        </w:tc>
      </w:tr>
      <w:tr w:rsidR="00F26B20" w:rsidRPr="000D406A">
        <w:trPr>
          <w:cantSplit/>
          <w:trHeight w:val="60"/>
        </w:trPr>
        <w:tc>
          <w:tcPr>
            <w:tcW w:w="1871" w:type="dxa"/>
          </w:tcPr>
          <w:p w:rsidR="00F26B20" w:rsidRPr="000D406A" w:rsidRDefault="00F26B20" w:rsidP="000D406A">
            <w:pPr>
              <w:pStyle w:val="TableSideHeading"/>
              <w:rPr>
                <w:sz w:val="26"/>
              </w:rPr>
            </w:pPr>
          </w:p>
        </w:tc>
        <w:tc>
          <w:tcPr>
            <w:tcW w:w="624" w:type="dxa"/>
          </w:tcPr>
          <w:p w:rsidR="00F26B20" w:rsidRPr="000D406A" w:rsidRDefault="00F26B20" w:rsidP="000D406A">
            <w:pPr>
              <w:pStyle w:val="TableText"/>
              <w:rPr>
                <w:sz w:val="26"/>
              </w:rPr>
            </w:pPr>
          </w:p>
        </w:tc>
        <w:tc>
          <w:tcPr>
            <w:tcW w:w="624" w:type="dxa"/>
          </w:tcPr>
          <w:p w:rsidR="00F26B20" w:rsidRPr="000D406A" w:rsidRDefault="00F26B20" w:rsidP="000D406A">
            <w:pPr>
              <w:pStyle w:val="TableText"/>
              <w:rPr>
                <w:sz w:val="26"/>
              </w:rPr>
            </w:pPr>
          </w:p>
        </w:tc>
        <w:tc>
          <w:tcPr>
            <w:tcW w:w="6522" w:type="dxa"/>
            <w:gridSpan w:val="4"/>
          </w:tcPr>
          <w:p w:rsidR="00F26B20" w:rsidRPr="000D406A" w:rsidRDefault="00F26B20" w:rsidP="000D406A">
            <w:pPr>
              <w:pStyle w:val="TableBlock"/>
              <w:numPr>
                <w:ilvl w:val="0"/>
                <w:numId w:val="28"/>
              </w:numPr>
              <w:tabs>
                <w:tab w:val="left" w:pos="624"/>
              </w:tabs>
              <w:rPr>
                <w:sz w:val="26"/>
              </w:rPr>
            </w:pPr>
            <w:r w:rsidRPr="000D406A">
              <w:rPr>
                <w:rFonts w:hint="cs"/>
                <w:sz w:val="26"/>
                <w:rtl/>
              </w:rPr>
              <w:t xml:space="preserve">סעיף 14(ד) </w:t>
            </w:r>
            <w:r w:rsidR="00833FE6" w:rsidRPr="000D406A">
              <w:rPr>
                <w:rFonts w:hint="cs"/>
                <w:sz w:val="26"/>
                <w:rtl/>
              </w:rPr>
              <w:t xml:space="preserve">- </w:t>
            </w:r>
            <w:r w:rsidRPr="000D406A">
              <w:rPr>
                <w:rFonts w:hint="cs"/>
                <w:sz w:val="26"/>
                <w:rtl/>
              </w:rPr>
              <w:t>בטל;</w:t>
            </w:r>
          </w:p>
        </w:tc>
      </w:tr>
      <w:tr w:rsidR="00F26B20" w:rsidRPr="000D406A">
        <w:trPr>
          <w:cantSplit/>
          <w:trHeight w:val="60"/>
        </w:trPr>
        <w:tc>
          <w:tcPr>
            <w:tcW w:w="1871" w:type="dxa"/>
          </w:tcPr>
          <w:p w:rsidR="00F26B20" w:rsidRPr="000D406A" w:rsidRDefault="00F26B20" w:rsidP="000D406A">
            <w:pPr>
              <w:pStyle w:val="TableSideHeading"/>
              <w:rPr>
                <w:sz w:val="26"/>
              </w:rPr>
            </w:pPr>
          </w:p>
        </w:tc>
        <w:tc>
          <w:tcPr>
            <w:tcW w:w="624" w:type="dxa"/>
          </w:tcPr>
          <w:p w:rsidR="00F26B20" w:rsidRPr="000D406A" w:rsidRDefault="00F26B20" w:rsidP="000D406A">
            <w:pPr>
              <w:pStyle w:val="TableText"/>
              <w:rPr>
                <w:sz w:val="26"/>
              </w:rPr>
            </w:pPr>
          </w:p>
        </w:tc>
        <w:tc>
          <w:tcPr>
            <w:tcW w:w="624" w:type="dxa"/>
          </w:tcPr>
          <w:p w:rsidR="00F26B20" w:rsidRPr="000D406A" w:rsidRDefault="00F26B20" w:rsidP="000D406A">
            <w:pPr>
              <w:pStyle w:val="TableText"/>
              <w:rPr>
                <w:sz w:val="26"/>
              </w:rPr>
            </w:pPr>
          </w:p>
        </w:tc>
        <w:tc>
          <w:tcPr>
            <w:tcW w:w="6522" w:type="dxa"/>
            <w:gridSpan w:val="4"/>
          </w:tcPr>
          <w:p w:rsidR="00F26B20" w:rsidRPr="000D406A" w:rsidRDefault="00AC09CD" w:rsidP="000D406A">
            <w:pPr>
              <w:pStyle w:val="TableBlock"/>
              <w:numPr>
                <w:ilvl w:val="0"/>
                <w:numId w:val="28"/>
              </w:numPr>
              <w:tabs>
                <w:tab w:val="left" w:pos="624"/>
              </w:tabs>
              <w:rPr>
                <w:sz w:val="26"/>
                <w:rtl/>
              </w:rPr>
            </w:pPr>
            <w:r w:rsidRPr="000D406A">
              <w:rPr>
                <w:rFonts w:hint="cs"/>
                <w:sz w:val="26"/>
                <w:rtl/>
              </w:rPr>
              <w:t>בסעיף 187(ג), במקום "</w:t>
            </w:r>
            <w:r w:rsidR="000A7E37" w:rsidRPr="000D406A">
              <w:rPr>
                <w:rFonts w:hint="cs"/>
                <w:sz w:val="26"/>
                <w:rtl/>
              </w:rPr>
              <w:t>ביום ה-14 לחודש שקדם ליום</w:t>
            </w:r>
            <w:r w:rsidRPr="000D406A">
              <w:rPr>
                <w:rFonts w:hint="cs"/>
                <w:sz w:val="26"/>
                <w:rtl/>
              </w:rPr>
              <w:t>" יבוא "</w:t>
            </w:r>
            <w:r w:rsidR="000A7E37" w:rsidRPr="000D406A">
              <w:rPr>
                <w:rFonts w:hint="cs"/>
                <w:sz w:val="26"/>
                <w:rtl/>
              </w:rPr>
              <w:t>ביום ה-16 לחודש</w:t>
            </w:r>
            <w:r w:rsidRPr="000D406A">
              <w:rPr>
                <w:rFonts w:hint="cs"/>
                <w:sz w:val="26"/>
                <w:rtl/>
              </w:rPr>
              <w:t>";</w:t>
            </w:r>
          </w:p>
        </w:tc>
      </w:tr>
      <w:tr w:rsidR="00AC09CD" w:rsidRPr="000D406A">
        <w:trPr>
          <w:cantSplit/>
          <w:trHeight w:val="60"/>
        </w:trPr>
        <w:tc>
          <w:tcPr>
            <w:tcW w:w="1871" w:type="dxa"/>
          </w:tcPr>
          <w:p w:rsidR="00AC09CD" w:rsidRPr="000D406A" w:rsidRDefault="00AC09CD" w:rsidP="000D406A">
            <w:pPr>
              <w:pStyle w:val="TableSideHeading"/>
              <w:rPr>
                <w:sz w:val="26"/>
              </w:rPr>
            </w:pPr>
          </w:p>
        </w:tc>
        <w:tc>
          <w:tcPr>
            <w:tcW w:w="624" w:type="dxa"/>
          </w:tcPr>
          <w:p w:rsidR="00AC09CD" w:rsidRPr="000D406A" w:rsidRDefault="00AC09CD" w:rsidP="000D406A">
            <w:pPr>
              <w:pStyle w:val="TableText"/>
              <w:rPr>
                <w:sz w:val="26"/>
              </w:rPr>
            </w:pPr>
          </w:p>
        </w:tc>
        <w:tc>
          <w:tcPr>
            <w:tcW w:w="624" w:type="dxa"/>
          </w:tcPr>
          <w:p w:rsidR="00AC09CD" w:rsidRPr="000D406A" w:rsidRDefault="00AC09CD" w:rsidP="000D406A">
            <w:pPr>
              <w:pStyle w:val="TableText"/>
              <w:rPr>
                <w:sz w:val="26"/>
              </w:rPr>
            </w:pPr>
          </w:p>
        </w:tc>
        <w:tc>
          <w:tcPr>
            <w:tcW w:w="6522" w:type="dxa"/>
            <w:gridSpan w:val="4"/>
          </w:tcPr>
          <w:p w:rsidR="00AC09CD" w:rsidRPr="000D406A" w:rsidRDefault="00AC09CD" w:rsidP="000D406A">
            <w:pPr>
              <w:pStyle w:val="TableBlock"/>
              <w:numPr>
                <w:ilvl w:val="0"/>
                <w:numId w:val="28"/>
              </w:numPr>
              <w:tabs>
                <w:tab w:val="left" w:pos="624"/>
              </w:tabs>
              <w:rPr>
                <w:sz w:val="26"/>
                <w:rtl/>
              </w:rPr>
            </w:pPr>
            <w:r w:rsidRPr="000D406A">
              <w:rPr>
                <w:rFonts w:ascii="David" w:hAnsi="David" w:hint="cs"/>
                <w:sz w:val="26"/>
                <w:rtl/>
              </w:rPr>
              <w:t xml:space="preserve">בסעיף 171 במקום הסיפה, החל </w:t>
            </w:r>
            <w:r w:rsidR="00833FE6" w:rsidRPr="000D406A">
              <w:rPr>
                <w:rFonts w:ascii="David" w:hAnsi="David" w:hint="cs"/>
                <w:sz w:val="26"/>
                <w:rtl/>
              </w:rPr>
              <w:t xml:space="preserve">במילים </w:t>
            </w:r>
            <w:r w:rsidRPr="000D406A">
              <w:rPr>
                <w:rFonts w:ascii="David" w:hAnsi="David" w:hint="cs"/>
                <w:sz w:val="26"/>
                <w:rtl/>
              </w:rPr>
              <w:t>"בתוך שבעה ימים" יבוא "</w:t>
            </w:r>
            <w:r w:rsidRPr="000D406A">
              <w:rPr>
                <w:rFonts w:ascii="David" w:hAnsi="David"/>
                <w:sz w:val="26"/>
                <w:rtl/>
              </w:rPr>
              <w:t>במועד שנקבע בתקנות</w:t>
            </w:r>
            <w:r w:rsidRPr="000D406A">
              <w:rPr>
                <w:rFonts w:ascii="David" w:hAnsi="David" w:hint="cs"/>
                <w:sz w:val="26"/>
                <w:rtl/>
              </w:rPr>
              <w:t>,</w:t>
            </w:r>
            <w:r w:rsidRPr="000D406A">
              <w:rPr>
                <w:rFonts w:ascii="David" w:hAnsi="David"/>
                <w:sz w:val="26"/>
                <w:rtl/>
              </w:rPr>
              <w:t xml:space="preserve"> את סכום המס שניכה ולהגיש לו באותו מועד דו"ח כפי שנקבע</w:t>
            </w:r>
            <w:r w:rsidRPr="000D406A">
              <w:rPr>
                <w:rFonts w:hint="cs"/>
                <w:sz w:val="26"/>
                <w:rtl/>
              </w:rPr>
              <w:t>"</w:t>
            </w:r>
            <w:r w:rsidR="00833FE6" w:rsidRPr="000D406A">
              <w:rPr>
                <w:rFonts w:hint="cs"/>
                <w:sz w:val="26"/>
                <w:rtl/>
              </w:rPr>
              <w:t>.</w:t>
            </w:r>
          </w:p>
        </w:tc>
      </w:tr>
      <w:tr w:rsidR="000F1BFE" w:rsidRPr="000D406A">
        <w:trPr>
          <w:cantSplit/>
          <w:trHeight w:val="60"/>
        </w:trPr>
        <w:tc>
          <w:tcPr>
            <w:tcW w:w="1871" w:type="dxa"/>
          </w:tcPr>
          <w:p w:rsidR="000F1BFE" w:rsidRPr="000D406A" w:rsidRDefault="000F1BFE" w:rsidP="000D406A">
            <w:pPr>
              <w:pStyle w:val="TableSideHeading"/>
              <w:keepLines w:val="0"/>
              <w:rPr>
                <w:sz w:val="26"/>
              </w:rPr>
            </w:pPr>
            <w:r w:rsidRPr="000D406A">
              <w:rPr>
                <w:rFonts w:hint="cs"/>
                <w:sz w:val="26"/>
                <w:rtl/>
              </w:rPr>
              <w:t>תיקון חוק מיסוי מקרקעין</w:t>
            </w:r>
            <w:r w:rsidR="002C2C6D" w:rsidRPr="000D406A">
              <w:rPr>
                <w:rFonts w:hint="cs"/>
                <w:sz w:val="26"/>
                <w:rtl/>
              </w:rPr>
              <w:t xml:space="preserve"> (שבח ורכישה</w:t>
            </w:r>
            <w:r w:rsidR="00833FE6" w:rsidRPr="000D406A">
              <w:rPr>
                <w:rFonts w:hint="cs"/>
                <w:sz w:val="26"/>
                <w:rtl/>
              </w:rPr>
              <w:t>)</w:t>
            </w:r>
          </w:p>
        </w:tc>
        <w:tc>
          <w:tcPr>
            <w:tcW w:w="624" w:type="dxa"/>
          </w:tcPr>
          <w:p w:rsidR="000F1BFE" w:rsidRPr="000D406A" w:rsidRDefault="000F1BFE" w:rsidP="000D406A">
            <w:pPr>
              <w:pStyle w:val="TableText"/>
              <w:keepLines w:val="0"/>
              <w:numPr>
                <w:ilvl w:val="0"/>
                <w:numId w:val="1"/>
              </w:numPr>
              <w:rPr>
                <w:sz w:val="26"/>
              </w:rPr>
            </w:pPr>
          </w:p>
        </w:tc>
        <w:tc>
          <w:tcPr>
            <w:tcW w:w="7146" w:type="dxa"/>
            <w:gridSpan w:val="5"/>
          </w:tcPr>
          <w:p w:rsidR="000F1BFE" w:rsidRPr="000D406A" w:rsidRDefault="00192799" w:rsidP="000D406A">
            <w:pPr>
              <w:pStyle w:val="TableBlock"/>
              <w:keepLines w:val="0"/>
              <w:rPr>
                <w:sz w:val="26"/>
              </w:rPr>
            </w:pPr>
            <w:r w:rsidRPr="000D406A">
              <w:rPr>
                <w:rFonts w:hint="cs"/>
                <w:sz w:val="26"/>
                <w:rtl/>
              </w:rPr>
              <w:t>בחוק מיסוי מקרקעין (שבח ורכישה), התשכ"ג-1963</w:t>
            </w:r>
            <w:r w:rsidRPr="000D406A">
              <w:rPr>
                <w:rStyle w:val="a6"/>
                <w:sz w:val="26"/>
                <w:rtl/>
              </w:rPr>
              <w:footnoteReference w:id="6"/>
            </w:r>
            <w:r w:rsidRPr="000D406A">
              <w:rPr>
                <w:rFonts w:hint="cs"/>
                <w:sz w:val="26"/>
                <w:rtl/>
              </w:rPr>
              <w:t>-</w:t>
            </w:r>
          </w:p>
        </w:tc>
      </w:tr>
      <w:tr w:rsidR="00192799" w:rsidRPr="000D406A">
        <w:trPr>
          <w:cantSplit/>
          <w:trHeight w:val="60"/>
        </w:trPr>
        <w:tc>
          <w:tcPr>
            <w:tcW w:w="1871" w:type="dxa"/>
          </w:tcPr>
          <w:p w:rsidR="00192799" w:rsidRPr="000D406A" w:rsidRDefault="00192799" w:rsidP="000D406A">
            <w:pPr>
              <w:pStyle w:val="TableSideHeading"/>
              <w:rPr>
                <w:sz w:val="26"/>
              </w:rPr>
            </w:pPr>
          </w:p>
        </w:tc>
        <w:tc>
          <w:tcPr>
            <w:tcW w:w="624" w:type="dxa"/>
          </w:tcPr>
          <w:p w:rsidR="00192799" w:rsidRPr="000D406A" w:rsidRDefault="00192799" w:rsidP="000D406A">
            <w:pPr>
              <w:pStyle w:val="TableText"/>
              <w:rPr>
                <w:sz w:val="26"/>
              </w:rPr>
            </w:pPr>
          </w:p>
        </w:tc>
        <w:tc>
          <w:tcPr>
            <w:tcW w:w="624" w:type="dxa"/>
          </w:tcPr>
          <w:p w:rsidR="00192799" w:rsidRPr="000D406A" w:rsidRDefault="00192799" w:rsidP="000D406A">
            <w:pPr>
              <w:pStyle w:val="TableText"/>
              <w:rPr>
                <w:sz w:val="26"/>
              </w:rPr>
            </w:pPr>
          </w:p>
        </w:tc>
        <w:tc>
          <w:tcPr>
            <w:tcW w:w="6522" w:type="dxa"/>
            <w:gridSpan w:val="4"/>
          </w:tcPr>
          <w:p w:rsidR="00192799" w:rsidRPr="000D406A" w:rsidRDefault="00192799" w:rsidP="000D406A">
            <w:pPr>
              <w:pStyle w:val="TableBlock"/>
              <w:numPr>
                <w:ilvl w:val="0"/>
                <w:numId w:val="29"/>
              </w:numPr>
              <w:tabs>
                <w:tab w:val="left" w:pos="624"/>
              </w:tabs>
              <w:rPr>
                <w:sz w:val="26"/>
              </w:rPr>
            </w:pPr>
            <w:r w:rsidRPr="000D406A">
              <w:rPr>
                <w:rFonts w:hint="cs"/>
                <w:sz w:val="26"/>
                <w:rtl/>
              </w:rPr>
              <w:t>בסעיף 49כ, אחרי "כעל מתחם פינוי בינוי במסלול מיסוי" יבוא "לפי סעיף 49כב";</w:t>
            </w:r>
          </w:p>
        </w:tc>
      </w:tr>
      <w:tr w:rsidR="00192799" w:rsidRPr="000D406A">
        <w:trPr>
          <w:cantSplit/>
          <w:trHeight w:val="60"/>
        </w:trPr>
        <w:tc>
          <w:tcPr>
            <w:tcW w:w="1871" w:type="dxa"/>
          </w:tcPr>
          <w:p w:rsidR="00192799" w:rsidRPr="000D406A" w:rsidRDefault="00192799" w:rsidP="000D406A">
            <w:pPr>
              <w:pStyle w:val="TableSideHeading"/>
              <w:rPr>
                <w:sz w:val="26"/>
              </w:rPr>
            </w:pPr>
          </w:p>
        </w:tc>
        <w:tc>
          <w:tcPr>
            <w:tcW w:w="624" w:type="dxa"/>
          </w:tcPr>
          <w:p w:rsidR="00192799" w:rsidRPr="000D406A" w:rsidRDefault="00192799" w:rsidP="000D406A">
            <w:pPr>
              <w:pStyle w:val="TableText"/>
              <w:rPr>
                <w:sz w:val="26"/>
              </w:rPr>
            </w:pPr>
          </w:p>
        </w:tc>
        <w:tc>
          <w:tcPr>
            <w:tcW w:w="624" w:type="dxa"/>
          </w:tcPr>
          <w:p w:rsidR="00192799" w:rsidRPr="000D406A" w:rsidRDefault="00192799" w:rsidP="000D406A">
            <w:pPr>
              <w:pStyle w:val="TableText"/>
              <w:rPr>
                <w:sz w:val="26"/>
              </w:rPr>
            </w:pPr>
          </w:p>
        </w:tc>
        <w:tc>
          <w:tcPr>
            <w:tcW w:w="6522" w:type="dxa"/>
            <w:gridSpan w:val="4"/>
          </w:tcPr>
          <w:p w:rsidR="00192799" w:rsidRPr="000D406A" w:rsidRDefault="00192799" w:rsidP="000D406A">
            <w:pPr>
              <w:pStyle w:val="TableBlock"/>
              <w:numPr>
                <w:ilvl w:val="0"/>
                <w:numId w:val="29"/>
              </w:numPr>
              <w:tabs>
                <w:tab w:val="left" w:pos="624"/>
              </w:tabs>
              <w:rPr>
                <w:sz w:val="26"/>
                <w:rtl/>
              </w:rPr>
            </w:pPr>
            <w:r w:rsidRPr="000D406A">
              <w:rPr>
                <w:rFonts w:hint="cs"/>
                <w:sz w:val="26"/>
                <w:rtl/>
              </w:rPr>
              <w:t>אחרי  סעיף 49כה יבוא:</w:t>
            </w:r>
          </w:p>
        </w:tc>
      </w:tr>
      <w:tr w:rsidR="00192799" w:rsidRPr="000D406A">
        <w:trPr>
          <w:cantSplit/>
          <w:trHeight w:val="60"/>
        </w:trPr>
        <w:tc>
          <w:tcPr>
            <w:tcW w:w="1871" w:type="dxa"/>
          </w:tcPr>
          <w:p w:rsidR="00192799" w:rsidRPr="000D406A" w:rsidRDefault="00192799" w:rsidP="000D406A">
            <w:pPr>
              <w:pStyle w:val="TableSideHeading"/>
              <w:keepLines w:val="0"/>
              <w:rPr>
                <w:sz w:val="26"/>
              </w:rPr>
            </w:pPr>
          </w:p>
        </w:tc>
        <w:tc>
          <w:tcPr>
            <w:tcW w:w="624" w:type="dxa"/>
          </w:tcPr>
          <w:p w:rsidR="00192799" w:rsidRPr="000D406A" w:rsidRDefault="00192799" w:rsidP="000D406A">
            <w:pPr>
              <w:pStyle w:val="TableText"/>
              <w:keepLines w:val="0"/>
              <w:rPr>
                <w:sz w:val="26"/>
              </w:rPr>
            </w:pPr>
          </w:p>
        </w:tc>
        <w:tc>
          <w:tcPr>
            <w:tcW w:w="1872" w:type="dxa"/>
            <w:gridSpan w:val="3"/>
          </w:tcPr>
          <w:p w:rsidR="00192799" w:rsidRPr="000D406A" w:rsidRDefault="00192799" w:rsidP="000D406A">
            <w:pPr>
              <w:pStyle w:val="TableInnerSideHeading"/>
              <w:rPr>
                <w:sz w:val="26"/>
              </w:rPr>
            </w:pPr>
            <w:r w:rsidRPr="000D406A">
              <w:rPr>
                <w:rFonts w:hint="cs"/>
                <w:sz w:val="26"/>
                <w:rtl/>
              </w:rPr>
              <w:t>"שווי הרכישה של זכות בתקופה שבין ההסכם למועד המכירה</w:t>
            </w:r>
          </w:p>
        </w:tc>
        <w:tc>
          <w:tcPr>
            <w:tcW w:w="624" w:type="dxa"/>
          </w:tcPr>
          <w:p w:rsidR="00192799" w:rsidRPr="000D406A" w:rsidRDefault="00192799" w:rsidP="000D406A">
            <w:pPr>
              <w:pStyle w:val="TableText"/>
              <w:rPr>
                <w:sz w:val="26"/>
              </w:rPr>
            </w:pPr>
            <w:r w:rsidRPr="000D406A">
              <w:rPr>
                <w:rFonts w:hint="cs"/>
                <w:sz w:val="26"/>
                <w:rtl/>
              </w:rPr>
              <w:t>49כה1</w:t>
            </w:r>
          </w:p>
        </w:tc>
        <w:tc>
          <w:tcPr>
            <w:tcW w:w="4650" w:type="dxa"/>
          </w:tcPr>
          <w:p w:rsidR="00192799" w:rsidRPr="000D406A" w:rsidRDefault="00192799" w:rsidP="000D406A">
            <w:pPr>
              <w:pStyle w:val="TableBlock"/>
              <w:numPr>
                <w:ilvl w:val="0"/>
                <w:numId w:val="30"/>
              </w:numPr>
              <w:tabs>
                <w:tab w:val="left" w:pos="624"/>
              </w:tabs>
              <w:rPr>
                <w:sz w:val="26"/>
                <w:rtl/>
              </w:rPr>
            </w:pPr>
            <w:r w:rsidRPr="000D406A">
              <w:rPr>
                <w:rFonts w:hint="cs"/>
                <w:sz w:val="26"/>
                <w:rtl/>
              </w:rPr>
              <w:t xml:space="preserve">נמכרה זכות במקרקעין במכירה כאמור בסעיף 49כב בעסקה המותנית בתנאי מתלה (להלן </w:t>
            </w:r>
            <w:r w:rsidRPr="000D406A">
              <w:rPr>
                <w:sz w:val="26"/>
                <w:rtl/>
              </w:rPr>
              <w:t>–</w:t>
            </w:r>
            <w:r w:rsidRPr="000D406A">
              <w:rPr>
                <w:rFonts w:hint="cs"/>
                <w:sz w:val="26"/>
                <w:rtl/>
              </w:rPr>
              <w:t xml:space="preserve">העסקה המקורית), וטרם </w:t>
            </w:r>
            <w:r w:rsidRPr="000D406A">
              <w:rPr>
                <w:rFonts w:hint="cs"/>
                <w:color w:val="auto"/>
                <w:sz w:val="26"/>
                <w:rtl/>
              </w:rPr>
              <w:t>התקיים יום המכירה של אותה עסקה</w:t>
            </w:r>
            <w:r w:rsidRPr="000D406A">
              <w:rPr>
                <w:rFonts w:hint="cs"/>
                <w:sz w:val="26"/>
                <w:rtl/>
              </w:rPr>
              <w:t xml:space="preserve">, לצורך חישוב מס רכישה יופחת משווי הזכות שוויה של התחייבות היזם כלפי המוכר על פי הסכם המכירה של העסקה המקורית (להלן </w:t>
            </w:r>
            <w:r w:rsidRPr="000D406A">
              <w:rPr>
                <w:sz w:val="26"/>
                <w:rtl/>
              </w:rPr>
              <w:t>–</w:t>
            </w:r>
            <w:r w:rsidRPr="000D406A">
              <w:rPr>
                <w:rFonts w:hint="cs"/>
                <w:sz w:val="26"/>
                <w:rtl/>
              </w:rPr>
              <w:t xml:space="preserve"> שווי התחייבות היזם); הגיע יום המכירה של העסקה המקורית, ישלם הרוכש האחרון של הזכות, </w:t>
            </w:r>
            <w:r w:rsidR="00833FE6" w:rsidRPr="000D406A">
              <w:rPr>
                <w:rFonts w:hint="cs"/>
                <w:sz w:val="26"/>
                <w:rtl/>
              </w:rPr>
              <w:t>מס רכישה בשל שווי התחייבות היזם.</w:t>
            </w:r>
          </w:p>
        </w:tc>
      </w:tr>
      <w:tr w:rsidR="00192799" w:rsidRPr="000D406A">
        <w:trPr>
          <w:cantSplit/>
          <w:trHeight w:val="60"/>
        </w:trPr>
        <w:tc>
          <w:tcPr>
            <w:tcW w:w="1871" w:type="dxa"/>
          </w:tcPr>
          <w:p w:rsidR="00192799" w:rsidRPr="000D406A" w:rsidRDefault="00192799" w:rsidP="000D406A">
            <w:pPr>
              <w:pStyle w:val="TableSideHeading"/>
              <w:rPr>
                <w:sz w:val="26"/>
              </w:rPr>
            </w:pPr>
          </w:p>
        </w:tc>
        <w:tc>
          <w:tcPr>
            <w:tcW w:w="624" w:type="dxa"/>
          </w:tcPr>
          <w:p w:rsidR="00192799" w:rsidRPr="000D406A" w:rsidRDefault="00192799" w:rsidP="000D406A">
            <w:pPr>
              <w:pStyle w:val="TableText"/>
              <w:rPr>
                <w:sz w:val="26"/>
              </w:rPr>
            </w:pPr>
          </w:p>
        </w:tc>
        <w:tc>
          <w:tcPr>
            <w:tcW w:w="624" w:type="dxa"/>
          </w:tcPr>
          <w:p w:rsidR="00192799" w:rsidRPr="000D406A" w:rsidRDefault="00192799" w:rsidP="000D406A">
            <w:pPr>
              <w:pStyle w:val="TableText"/>
              <w:rPr>
                <w:sz w:val="26"/>
              </w:rPr>
            </w:pPr>
          </w:p>
        </w:tc>
        <w:tc>
          <w:tcPr>
            <w:tcW w:w="624" w:type="dxa"/>
          </w:tcPr>
          <w:p w:rsidR="00192799" w:rsidRPr="000D406A" w:rsidRDefault="00192799" w:rsidP="000D406A">
            <w:pPr>
              <w:pStyle w:val="TableText"/>
              <w:rPr>
                <w:sz w:val="26"/>
              </w:rPr>
            </w:pPr>
          </w:p>
        </w:tc>
        <w:tc>
          <w:tcPr>
            <w:tcW w:w="624" w:type="dxa"/>
          </w:tcPr>
          <w:p w:rsidR="00192799" w:rsidRPr="000D406A" w:rsidRDefault="00192799" w:rsidP="000D406A">
            <w:pPr>
              <w:pStyle w:val="TableText"/>
              <w:rPr>
                <w:sz w:val="26"/>
              </w:rPr>
            </w:pPr>
          </w:p>
        </w:tc>
        <w:tc>
          <w:tcPr>
            <w:tcW w:w="624" w:type="dxa"/>
          </w:tcPr>
          <w:p w:rsidR="00192799" w:rsidRPr="000D406A" w:rsidRDefault="00192799" w:rsidP="000D406A">
            <w:pPr>
              <w:pStyle w:val="TableText"/>
              <w:rPr>
                <w:sz w:val="26"/>
              </w:rPr>
            </w:pPr>
          </w:p>
        </w:tc>
        <w:tc>
          <w:tcPr>
            <w:tcW w:w="4650" w:type="dxa"/>
          </w:tcPr>
          <w:p w:rsidR="00192799" w:rsidRPr="000D406A" w:rsidRDefault="00192799" w:rsidP="000D406A">
            <w:pPr>
              <w:pStyle w:val="TableBlock"/>
              <w:numPr>
                <w:ilvl w:val="0"/>
                <w:numId w:val="30"/>
              </w:numPr>
              <w:tabs>
                <w:tab w:val="left" w:pos="624"/>
              </w:tabs>
              <w:rPr>
                <w:sz w:val="26"/>
              </w:rPr>
            </w:pPr>
            <w:r w:rsidRPr="000D406A">
              <w:rPr>
                <w:rFonts w:hint="cs"/>
                <w:sz w:val="26"/>
                <w:rtl/>
              </w:rPr>
              <w:t xml:space="preserve">שר האוצר, בהסכמת שר המשפטים, רשאי לקבוע </w:t>
            </w:r>
            <w:r w:rsidRPr="000D406A">
              <w:rPr>
                <w:sz w:val="26"/>
                <w:rtl/>
              </w:rPr>
              <w:t xml:space="preserve">מקרים שבהם לא תינתן ההטבה במס רכישה כאמור בסעיף קטן </w:t>
            </w:r>
            <w:r w:rsidRPr="000D406A">
              <w:rPr>
                <w:rFonts w:hint="cs"/>
                <w:sz w:val="26"/>
                <w:rtl/>
              </w:rPr>
              <w:t>(</w:t>
            </w:r>
            <w:r w:rsidRPr="000D406A">
              <w:rPr>
                <w:sz w:val="26"/>
                <w:rtl/>
              </w:rPr>
              <w:t>א</w:t>
            </w:r>
            <w:r w:rsidRPr="000D406A">
              <w:rPr>
                <w:rFonts w:hint="cs"/>
                <w:sz w:val="26"/>
                <w:rtl/>
              </w:rPr>
              <w:t>)</w:t>
            </w:r>
            <w:r w:rsidRPr="000D406A">
              <w:rPr>
                <w:sz w:val="26"/>
                <w:rtl/>
              </w:rPr>
              <w:t xml:space="preserve"> או שהיא תינתן בתנאים, לרבות כתלות במאפיינים של המוכר, הרוכש או העסקה</w:t>
            </w:r>
            <w:r w:rsidRPr="000D406A">
              <w:rPr>
                <w:sz w:val="26"/>
              </w:rPr>
              <w:t>.</w:t>
            </w:r>
            <w:r w:rsidRPr="000D406A">
              <w:rPr>
                <w:rFonts w:hint="cs"/>
                <w:sz w:val="26"/>
                <w:rtl/>
              </w:rPr>
              <w:t>"</w:t>
            </w:r>
            <w:r w:rsidR="00833FE6" w:rsidRPr="000D406A">
              <w:rPr>
                <w:rFonts w:hint="cs"/>
                <w:sz w:val="26"/>
                <w:rtl/>
              </w:rPr>
              <w:t>;</w:t>
            </w:r>
          </w:p>
        </w:tc>
      </w:tr>
      <w:tr w:rsidR="00192799" w:rsidRPr="000D406A" w:rsidTr="00F45E13">
        <w:trPr>
          <w:cantSplit/>
          <w:trHeight w:val="60"/>
        </w:trPr>
        <w:tc>
          <w:tcPr>
            <w:tcW w:w="1871" w:type="dxa"/>
          </w:tcPr>
          <w:p w:rsidR="00192799" w:rsidRPr="000D406A" w:rsidRDefault="00192799" w:rsidP="000D406A">
            <w:pPr>
              <w:pStyle w:val="TableSideHeading"/>
              <w:rPr>
                <w:sz w:val="26"/>
              </w:rPr>
            </w:pPr>
          </w:p>
        </w:tc>
        <w:tc>
          <w:tcPr>
            <w:tcW w:w="624" w:type="dxa"/>
          </w:tcPr>
          <w:p w:rsidR="00192799" w:rsidRPr="000D406A" w:rsidRDefault="00192799" w:rsidP="000D406A">
            <w:pPr>
              <w:pStyle w:val="TableText"/>
              <w:rPr>
                <w:sz w:val="26"/>
              </w:rPr>
            </w:pPr>
          </w:p>
        </w:tc>
        <w:tc>
          <w:tcPr>
            <w:tcW w:w="624" w:type="dxa"/>
          </w:tcPr>
          <w:p w:rsidR="00192799" w:rsidRPr="000D406A" w:rsidRDefault="00192799" w:rsidP="000D406A">
            <w:pPr>
              <w:pStyle w:val="TableText"/>
              <w:rPr>
                <w:sz w:val="26"/>
              </w:rPr>
            </w:pPr>
          </w:p>
        </w:tc>
        <w:tc>
          <w:tcPr>
            <w:tcW w:w="6522" w:type="dxa"/>
            <w:gridSpan w:val="4"/>
          </w:tcPr>
          <w:p w:rsidR="00192799" w:rsidRPr="000D406A" w:rsidRDefault="00192799" w:rsidP="000D406A">
            <w:pPr>
              <w:pStyle w:val="TableBlock"/>
              <w:numPr>
                <w:ilvl w:val="0"/>
                <w:numId w:val="29"/>
              </w:numPr>
              <w:tabs>
                <w:tab w:val="left" w:pos="624"/>
              </w:tabs>
              <w:rPr>
                <w:sz w:val="26"/>
                <w:rtl/>
              </w:rPr>
            </w:pPr>
            <w:r w:rsidRPr="000D406A">
              <w:rPr>
                <w:rFonts w:hint="cs"/>
                <w:sz w:val="26"/>
                <w:rtl/>
              </w:rPr>
              <w:t>אחרי סעיף 49כז יבוא:</w:t>
            </w:r>
          </w:p>
        </w:tc>
      </w:tr>
      <w:tr w:rsidR="00192799" w:rsidRPr="000D406A">
        <w:trPr>
          <w:cantSplit/>
          <w:trHeight w:val="60"/>
        </w:trPr>
        <w:tc>
          <w:tcPr>
            <w:tcW w:w="1871" w:type="dxa"/>
          </w:tcPr>
          <w:p w:rsidR="00192799" w:rsidRPr="000D406A" w:rsidRDefault="00192799" w:rsidP="000D406A">
            <w:pPr>
              <w:pStyle w:val="TableSideHeading"/>
              <w:keepLines w:val="0"/>
              <w:rPr>
                <w:sz w:val="26"/>
              </w:rPr>
            </w:pPr>
          </w:p>
        </w:tc>
        <w:tc>
          <w:tcPr>
            <w:tcW w:w="624" w:type="dxa"/>
          </w:tcPr>
          <w:p w:rsidR="00192799" w:rsidRPr="000D406A" w:rsidRDefault="00192799" w:rsidP="000D406A">
            <w:pPr>
              <w:pStyle w:val="TableText"/>
              <w:keepLines w:val="0"/>
              <w:rPr>
                <w:sz w:val="26"/>
              </w:rPr>
            </w:pPr>
          </w:p>
        </w:tc>
        <w:tc>
          <w:tcPr>
            <w:tcW w:w="1872" w:type="dxa"/>
            <w:gridSpan w:val="3"/>
          </w:tcPr>
          <w:p w:rsidR="00192799" w:rsidRPr="000D406A" w:rsidRDefault="00192799" w:rsidP="000D406A">
            <w:pPr>
              <w:pStyle w:val="TableInnerSideHeading"/>
              <w:rPr>
                <w:sz w:val="26"/>
              </w:rPr>
            </w:pPr>
            <w:r w:rsidRPr="000D406A">
              <w:rPr>
                <w:rFonts w:hint="cs"/>
                <w:sz w:val="26"/>
                <w:rtl/>
              </w:rPr>
              <w:t>"זכות בדירת מגורים חלופית כדירת מגורים מזכה</w:t>
            </w:r>
          </w:p>
        </w:tc>
        <w:tc>
          <w:tcPr>
            <w:tcW w:w="624" w:type="dxa"/>
          </w:tcPr>
          <w:p w:rsidR="00192799" w:rsidRPr="000D406A" w:rsidRDefault="00192799" w:rsidP="000D406A">
            <w:pPr>
              <w:pStyle w:val="TableText"/>
              <w:rPr>
                <w:sz w:val="26"/>
              </w:rPr>
            </w:pPr>
            <w:r w:rsidRPr="000D406A">
              <w:rPr>
                <w:rFonts w:hint="cs"/>
                <w:sz w:val="26"/>
                <w:rtl/>
              </w:rPr>
              <w:t>49כז1</w:t>
            </w:r>
          </w:p>
        </w:tc>
        <w:tc>
          <w:tcPr>
            <w:tcW w:w="4650" w:type="dxa"/>
          </w:tcPr>
          <w:p w:rsidR="00192799" w:rsidRPr="000D406A" w:rsidRDefault="00192799" w:rsidP="000D406A">
            <w:pPr>
              <w:pStyle w:val="TableBlock"/>
              <w:rPr>
                <w:sz w:val="26"/>
              </w:rPr>
            </w:pPr>
            <w:r w:rsidRPr="000D406A">
              <w:rPr>
                <w:rFonts w:hint="cs"/>
                <w:sz w:val="26"/>
                <w:rtl/>
              </w:rPr>
              <w:t>נמכרה יחידת מגורים שהיא דירת מגורים מזכה כהגדרתה בסעיף 49 במכירה לפי סעיף 49כב, וטרם הגיע יום המכירה, יראו את הזכות ליחידת המגורים החלופית שהתקבלה תמורת יחידת המגורים הנמכרת, כדירת מגורים מזכה."</w:t>
            </w:r>
            <w:r w:rsidR="00833FE6" w:rsidRPr="000D406A">
              <w:rPr>
                <w:rFonts w:hint="cs"/>
                <w:sz w:val="26"/>
                <w:rtl/>
              </w:rPr>
              <w:t>;</w:t>
            </w:r>
            <w:r w:rsidRPr="000D406A">
              <w:rPr>
                <w:rFonts w:hint="cs"/>
                <w:sz w:val="26"/>
                <w:rtl/>
              </w:rPr>
              <w:t xml:space="preserve"> </w:t>
            </w:r>
          </w:p>
        </w:tc>
      </w:tr>
      <w:tr w:rsidR="00193DFE" w:rsidRPr="000D406A" w:rsidTr="00DF66F5">
        <w:trPr>
          <w:cantSplit/>
          <w:trHeight w:val="60"/>
        </w:trPr>
        <w:tc>
          <w:tcPr>
            <w:tcW w:w="1871" w:type="dxa"/>
          </w:tcPr>
          <w:p w:rsidR="00193DFE" w:rsidRPr="000D406A" w:rsidRDefault="00193DFE" w:rsidP="000D406A">
            <w:pPr>
              <w:pStyle w:val="TableSideHeading"/>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6522" w:type="dxa"/>
            <w:gridSpan w:val="4"/>
          </w:tcPr>
          <w:p w:rsidR="00193DFE" w:rsidRPr="000D406A" w:rsidRDefault="00193DFE" w:rsidP="000D406A">
            <w:pPr>
              <w:pStyle w:val="TableBlock"/>
              <w:numPr>
                <w:ilvl w:val="0"/>
                <w:numId w:val="29"/>
              </w:numPr>
              <w:tabs>
                <w:tab w:val="left" w:pos="624"/>
              </w:tabs>
              <w:rPr>
                <w:sz w:val="26"/>
                <w:rtl/>
              </w:rPr>
            </w:pPr>
            <w:r w:rsidRPr="000D406A">
              <w:rPr>
                <w:rFonts w:hint="cs"/>
                <w:sz w:val="26"/>
                <w:rtl/>
              </w:rPr>
              <w:t>אחרי</w:t>
            </w:r>
            <w:r w:rsidR="00504CCC" w:rsidRPr="000D406A">
              <w:rPr>
                <w:rFonts w:hint="cs"/>
                <w:sz w:val="26"/>
                <w:rtl/>
              </w:rPr>
              <w:t xml:space="preserve"> סעיף 49לב1 </w:t>
            </w:r>
            <w:r w:rsidRPr="000D406A">
              <w:rPr>
                <w:rFonts w:hint="cs"/>
                <w:sz w:val="26"/>
                <w:rtl/>
              </w:rPr>
              <w:t>יבוא:</w:t>
            </w:r>
          </w:p>
        </w:tc>
      </w:tr>
      <w:tr w:rsidR="00193DFE" w:rsidRPr="000D406A">
        <w:trPr>
          <w:cantSplit/>
          <w:trHeight w:val="60"/>
        </w:trPr>
        <w:tc>
          <w:tcPr>
            <w:tcW w:w="1871" w:type="dxa"/>
          </w:tcPr>
          <w:p w:rsidR="00193DFE" w:rsidRPr="000D406A" w:rsidRDefault="00193DFE" w:rsidP="000D406A">
            <w:pPr>
              <w:pStyle w:val="TableSideHeading"/>
              <w:keepLines w:val="0"/>
              <w:rPr>
                <w:sz w:val="26"/>
              </w:rPr>
            </w:pPr>
          </w:p>
        </w:tc>
        <w:tc>
          <w:tcPr>
            <w:tcW w:w="624" w:type="dxa"/>
          </w:tcPr>
          <w:p w:rsidR="00193DFE" w:rsidRPr="000D406A" w:rsidRDefault="00193DFE" w:rsidP="000D406A">
            <w:pPr>
              <w:pStyle w:val="TableText"/>
              <w:keepLines w:val="0"/>
              <w:rPr>
                <w:sz w:val="26"/>
              </w:rPr>
            </w:pPr>
          </w:p>
        </w:tc>
        <w:tc>
          <w:tcPr>
            <w:tcW w:w="1872" w:type="dxa"/>
            <w:gridSpan w:val="3"/>
          </w:tcPr>
          <w:p w:rsidR="00193DFE" w:rsidRPr="000D406A" w:rsidRDefault="00193DFE" w:rsidP="000D406A">
            <w:pPr>
              <w:pStyle w:val="TableInnerSideHeading"/>
              <w:rPr>
                <w:sz w:val="26"/>
              </w:rPr>
            </w:pPr>
            <w:r w:rsidRPr="000D406A">
              <w:rPr>
                <w:rFonts w:hint="cs"/>
                <w:sz w:val="26"/>
                <w:rtl/>
              </w:rPr>
              <w:t>"שווי הרכישה של זכות בתקופה שבין ההסכם למועד המכירה</w:t>
            </w:r>
          </w:p>
        </w:tc>
        <w:tc>
          <w:tcPr>
            <w:tcW w:w="624" w:type="dxa"/>
          </w:tcPr>
          <w:p w:rsidR="00193DFE" w:rsidRPr="000D406A" w:rsidRDefault="00193DFE" w:rsidP="000D406A">
            <w:pPr>
              <w:pStyle w:val="TableText"/>
              <w:rPr>
                <w:sz w:val="26"/>
              </w:rPr>
            </w:pPr>
            <w:r w:rsidRPr="000D406A">
              <w:rPr>
                <w:rFonts w:hint="cs"/>
                <w:sz w:val="26"/>
                <w:rtl/>
              </w:rPr>
              <w:t>49לב1א</w:t>
            </w:r>
          </w:p>
        </w:tc>
        <w:tc>
          <w:tcPr>
            <w:tcW w:w="4650" w:type="dxa"/>
          </w:tcPr>
          <w:p w:rsidR="00193DFE" w:rsidRPr="000D406A" w:rsidRDefault="00193DFE" w:rsidP="000D406A">
            <w:pPr>
              <w:pStyle w:val="TableBlock"/>
              <w:numPr>
                <w:ilvl w:val="0"/>
                <w:numId w:val="31"/>
              </w:numPr>
              <w:tabs>
                <w:tab w:val="left" w:pos="624"/>
              </w:tabs>
              <w:rPr>
                <w:sz w:val="26"/>
              </w:rPr>
            </w:pPr>
            <w:r w:rsidRPr="000D406A">
              <w:rPr>
                <w:rFonts w:hint="cs"/>
                <w:sz w:val="26"/>
                <w:rtl/>
              </w:rPr>
              <w:t xml:space="preserve">נמכרה זכות במקרקעין במכירה כאמור בסעיף 49לג או 49לג1 בעסקה המותנית בתנאי מתלה (להלן </w:t>
            </w:r>
            <w:r w:rsidRPr="000D406A">
              <w:rPr>
                <w:sz w:val="26"/>
                <w:rtl/>
              </w:rPr>
              <w:t>–</w:t>
            </w:r>
            <w:r w:rsidRPr="000D406A">
              <w:rPr>
                <w:rFonts w:hint="cs"/>
                <w:sz w:val="26"/>
                <w:rtl/>
              </w:rPr>
              <w:t xml:space="preserve"> העסקה המקורית), וטרם הגיע יום המכירה לפי סעיף 49לב, לצורך חישוב מס רכישה יופחת משווי הזכות שוויה של התחייבות היזם כלפי המוכר על פי הסכם המכירה של העסקה המקורית (להלן </w:t>
            </w:r>
            <w:r w:rsidRPr="000D406A">
              <w:rPr>
                <w:sz w:val="26"/>
                <w:rtl/>
              </w:rPr>
              <w:t>–</w:t>
            </w:r>
            <w:r w:rsidRPr="000D406A">
              <w:rPr>
                <w:rFonts w:hint="cs"/>
                <w:sz w:val="26"/>
                <w:rtl/>
              </w:rPr>
              <w:t xml:space="preserve"> שווי התחייבות היזם); הגיע יום המכירה של העסקה המקורית, ישלם הרוכש האחרון של הזכות, </w:t>
            </w:r>
            <w:r w:rsidR="00833FE6" w:rsidRPr="000D406A">
              <w:rPr>
                <w:rFonts w:hint="cs"/>
                <w:sz w:val="26"/>
                <w:rtl/>
              </w:rPr>
              <w:t>מס רכישה בשל שווי התחייבות היזם.</w:t>
            </w:r>
          </w:p>
        </w:tc>
      </w:tr>
      <w:tr w:rsidR="00193DFE" w:rsidRPr="000D406A">
        <w:trPr>
          <w:cantSplit/>
          <w:trHeight w:val="60"/>
        </w:trPr>
        <w:tc>
          <w:tcPr>
            <w:tcW w:w="1871" w:type="dxa"/>
          </w:tcPr>
          <w:p w:rsidR="00193DFE" w:rsidRPr="000D406A" w:rsidRDefault="00193DFE" w:rsidP="000D406A">
            <w:pPr>
              <w:pStyle w:val="TableSideHeading"/>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4650" w:type="dxa"/>
          </w:tcPr>
          <w:p w:rsidR="00193DFE" w:rsidRPr="000D406A" w:rsidRDefault="00193DFE" w:rsidP="000D406A">
            <w:pPr>
              <w:pStyle w:val="TableBlock"/>
              <w:numPr>
                <w:ilvl w:val="0"/>
                <w:numId w:val="31"/>
              </w:numPr>
              <w:tabs>
                <w:tab w:val="left" w:pos="624"/>
              </w:tabs>
              <w:rPr>
                <w:sz w:val="26"/>
              </w:rPr>
            </w:pPr>
            <w:r w:rsidRPr="000D406A">
              <w:rPr>
                <w:rFonts w:hint="cs"/>
                <w:sz w:val="26"/>
                <w:rtl/>
              </w:rPr>
              <w:t xml:space="preserve">שר האוצר, בהסכמת שר המשפטים, רשאי לקבוע </w:t>
            </w:r>
            <w:r w:rsidRPr="000D406A">
              <w:rPr>
                <w:sz w:val="26"/>
                <w:rtl/>
              </w:rPr>
              <w:t xml:space="preserve">מקרים שבהם לא תינתן ההטבה במס רכישה כאמור בסעיף קטן </w:t>
            </w:r>
            <w:r w:rsidRPr="000D406A">
              <w:rPr>
                <w:rFonts w:hint="cs"/>
                <w:sz w:val="26"/>
                <w:rtl/>
              </w:rPr>
              <w:t>(</w:t>
            </w:r>
            <w:r w:rsidRPr="000D406A">
              <w:rPr>
                <w:sz w:val="26"/>
                <w:rtl/>
              </w:rPr>
              <w:t>א</w:t>
            </w:r>
            <w:r w:rsidRPr="000D406A">
              <w:rPr>
                <w:rFonts w:hint="cs"/>
                <w:sz w:val="26"/>
                <w:rtl/>
              </w:rPr>
              <w:t>)</w:t>
            </w:r>
            <w:r w:rsidRPr="000D406A">
              <w:rPr>
                <w:sz w:val="26"/>
                <w:rtl/>
              </w:rPr>
              <w:t xml:space="preserve"> או שהיא תינתן בתנאים, לרבות כתלות במאפיינים של המוכר, הרוכש או העסקה</w:t>
            </w:r>
            <w:r w:rsidRPr="000D406A">
              <w:rPr>
                <w:sz w:val="26"/>
              </w:rPr>
              <w:t>.</w:t>
            </w:r>
            <w:r w:rsidRPr="000D406A">
              <w:rPr>
                <w:rFonts w:hint="cs"/>
                <w:sz w:val="26"/>
                <w:rtl/>
              </w:rPr>
              <w:t>"</w:t>
            </w:r>
            <w:r w:rsidR="00833FE6" w:rsidRPr="000D406A">
              <w:rPr>
                <w:rFonts w:hint="cs"/>
                <w:sz w:val="26"/>
                <w:rtl/>
              </w:rPr>
              <w:t>.</w:t>
            </w:r>
          </w:p>
        </w:tc>
      </w:tr>
      <w:tr w:rsidR="00193DFE" w:rsidRPr="000D406A" w:rsidTr="00046806">
        <w:trPr>
          <w:cantSplit/>
          <w:trHeight w:val="60"/>
        </w:trPr>
        <w:tc>
          <w:tcPr>
            <w:tcW w:w="1871" w:type="dxa"/>
          </w:tcPr>
          <w:p w:rsidR="00193DFE" w:rsidRPr="000D406A" w:rsidRDefault="00193DFE" w:rsidP="000D406A">
            <w:pPr>
              <w:pStyle w:val="TableSideHeading"/>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6522" w:type="dxa"/>
            <w:gridSpan w:val="4"/>
          </w:tcPr>
          <w:p w:rsidR="00193DFE" w:rsidRPr="000D406A" w:rsidRDefault="00B2392E" w:rsidP="000D406A">
            <w:pPr>
              <w:pStyle w:val="TableBlock"/>
              <w:numPr>
                <w:ilvl w:val="0"/>
                <w:numId w:val="29"/>
              </w:numPr>
              <w:tabs>
                <w:tab w:val="left" w:pos="624"/>
              </w:tabs>
              <w:rPr>
                <w:sz w:val="26"/>
                <w:rtl/>
              </w:rPr>
            </w:pPr>
            <w:r w:rsidRPr="000D406A">
              <w:rPr>
                <w:rFonts w:hint="cs"/>
                <w:sz w:val="26"/>
                <w:rtl/>
              </w:rPr>
              <w:t xml:space="preserve">אחרי סעיף 49לו </w:t>
            </w:r>
            <w:r w:rsidR="00193DFE" w:rsidRPr="000D406A">
              <w:rPr>
                <w:rFonts w:hint="cs"/>
                <w:sz w:val="26"/>
                <w:rtl/>
              </w:rPr>
              <w:t>יבוא:</w:t>
            </w:r>
          </w:p>
        </w:tc>
      </w:tr>
      <w:tr w:rsidR="00193DFE" w:rsidRPr="000D406A">
        <w:trPr>
          <w:cantSplit/>
          <w:trHeight w:val="60"/>
        </w:trPr>
        <w:tc>
          <w:tcPr>
            <w:tcW w:w="1871" w:type="dxa"/>
          </w:tcPr>
          <w:p w:rsidR="00193DFE" w:rsidRPr="000D406A" w:rsidRDefault="00193DFE" w:rsidP="000D406A">
            <w:pPr>
              <w:pStyle w:val="TableSideHeading"/>
              <w:keepLines w:val="0"/>
              <w:rPr>
                <w:sz w:val="26"/>
              </w:rPr>
            </w:pPr>
          </w:p>
        </w:tc>
        <w:tc>
          <w:tcPr>
            <w:tcW w:w="624" w:type="dxa"/>
          </w:tcPr>
          <w:p w:rsidR="00193DFE" w:rsidRPr="000D406A" w:rsidRDefault="00193DFE" w:rsidP="000D406A">
            <w:pPr>
              <w:pStyle w:val="TableText"/>
              <w:keepLines w:val="0"/>
              <w:rPr>
                <w:sz w:val="26"/>
              </w:rPr>
            </w:pPr>
          </w:p>
        </w:tc>
        <w:tc>
          <w:tcPr>
            <w:tcW w:w="1872" w:type="dxa"/>
            <w:gridSpan w:val="3"/>
          </w:tcPr>
          <w:p w:rsidR="00193DFE" w:rsidRPr="000D406A" w:rsidRDefault="00193DFE" w:rsidP="000D406A">
            <w:pPr>
              <w:pStyle w:val="TableInnerSideHeading"/>
              <w:rPr>
                <w:sz w:val="26"/>
              </w:rPr>
            </w:pPr>
            <w:r w:rsidRPr="000D406A">
              <w:rPr>
                <w:rFonts w:hint="cs"/>
                <w:sz w:val="26"/>
                <w:rtl/>
              </w:rPr>
              <w:t>"זכות בדירת מגורים חלופית כדירת מגורים מזכה</w:t>
            </w:r>
          </w:p>
        </w:tc>
        <w:tc>
          <w:tcPr>
            <w:tcW w:w="624" w:type="dxa"/>
          </w:tcPr>
          <w:p w:rsidR="00193DFE" w:rsidRPr="000D406A" w:rsidRDefault="00193DFE" w:rsidP="000D406A">
            <w:pPr>
              <w:pStyle w:val="TableText"/>
              <w:rPr>
                <w:sz w:val="26"/>
              </w:rPr>
            </w:pPr>
            <w:r w:rsidRPr="000D406A">
              <w:rPr>
                <w:rFonts w:hint="cs"/>
                <w:sz w:val="26"/>
                <w:rtl/>
              </w:rPr>
              <w:t>49לו1</w:t>
            </w:r>
          </w:p>
        </w:tc>
        <w:tc>
          <w:tcPr>
            <w:tcW w:w="4650" w:type="dxa"/>
          </w:tcPr>
          <w:p w:rsidR="00193DFE" w:rsidRPr="000D406A" w:rsidRDefault="00193DFE" w:rsidP="000D406A">
            <w:pPr>
              <w:pStyle w:val="TableBlock"/>
              <w:rPr>
                <w:sz w:val="26"/>
              </w:rPr>
            </w:pPr>
            <w:r w:rsidRPr="000D406A">
              <w:rPr>
                <w:rFonts w:hint="cs"/>
                <w:sz w:val="26"/>
                <w:rtl/>
              </w:rPr>
              <w:t>נמכרה זכות במקרקעין שהיא דירת מגורים מזכה כהגדרתה בסעיף 49, במכירה לפי סעיף 49לג1, וטרם הגיע יום המכירה, יראו את הזכות ליחידת המגורים החלופית שהתקבלה תמורת יחידת המגורים הנמכרת, כדירת מגורים מזכה."</w:t>
            </w:r>
            <w:r w:rsidR="00833FE6" w:rsidRPr="000D406A">
              <w:rPr>
                <w:rFonts w:hint="cs"/>
                <w:sz w:val="26"/>
                <w:rtl/>
              </w:rPr>
              <w:t>.</w:t>
            </w:r>
          </w:p>
        </w:tc>
      </w:tr>
      <w:tr w:rsidR="00193DFE" w:rsidRPr="000D406A">
        <w:trPr>
          <w:cantSplit/>
          <w:trHeight w:val="60"/>
        </w:trPr>
        <w:tc>
          <w:tcPr>
            <w:tcW w:w="1871" w:type="dxa"/>
          </w:tcPr>
          <w:p w:rsidR="00193DFE" w:rsidRPr="000D406A" w:rsidRDefault="00833FE6" w:rsidP="000D406A">
            <w:pPr>
              <w:pStyle w:val="TableSideHeading"/>
              <w:keepLines w:val="0"/>
              <w:rPr>
                <w:sz w:val="26"/>
              </w:rPr>
            </w:pPr>
            <w:r w:rsidRPr="000D406A">
              <w:rPr>
                <w:rFonts w:hint="cs"/>
                <w:sz w:val="26"/>
                <w:rtl/>
              </w:rPr>
              <w:t xml:space="preserve">תיקון </w:t>
            </w:r>
            <w:r w:rsidR="00A01AAA" w:rsidRPr="000D406A">
              <w:rPr>
                <w:rFonts w:hint="cs"/>
                <w:sz w:val="26"/>
                <w:rtl/>
              </w:rPr>
              <w:t>חוק להגדלת שיעור ההשתתפות בכוח העבודה ולצמצום פערים חברתיים (מענק עבודה)</w:t>
            </w:r>
          </w:p>
        </w:tc>
        <w:tc>
          <w:tcPr>
            <w:tcW w:w="624" w:type="dxa"/>
          </w:tcPr>
          <w:p w:rsidR="00193DFE" w:rsidRPr="000D406A" w:rsidRDefault="00193DFE" w:rsidP="000D406A">
            <w:pPr>
              <w:pStyle w:val="TableText"/>
              <w:keepLines w:val="0"/>
              <w:numPr>
                <w:ilvl w:val="0"/>
                <w:numId w:val="1"/>
              </w:numPr>
              <w:rPr>
                <w:sz w:val="26"/>
              </w:rPr>
            </w:pPr>
          </w:p>
        </w:tc>
        <w:tc>
          <w:tcPr>
            <w:tcW w:w="7146" w:type="dxa"/>
            <w:gridSpan w:val="5"/>
          </w:tcPr>
          <w:p w:rsidR="00193DFE" w:rsidRPr="000D406A" w:rsidRDefault="006465BD" w:rsidP="000D406A">
            <w:pPr>
              <w:pStyle w:val="TableBlock"/>
              <w:keepLines w:val="0"/>
              <w:rPr>
                <w:sz w:val="26"/>
              </w:rPr>
            </w:pPr>
            <w:r w:rsidRPr="000D406A">
              <w:rPr>
                <w:rFonts w:hint="cs"/>
                <w:sz w:val="26"/>
                <w:rtl/>
              </w:rPr>
              <w:t>ב</w:t>
            </w:r>
            <w:r w:rsidR="00595151" w:rsidRPr="000D406A">
              <w:rPr>
                <w:rFonts w:hint="cs"/>
                <w:sz w:val="26"/>
                <w:rtl/>
              </w:rPr>
              <w:t xml:space="preserve">תקופה שמיום כ"ד בטבת התשע"ט (1 בינואר 2019) עד יום ג' בטבת התש"פ (31 בדצמבר 2019), יקראו את </w:t>
            </w:r>
            <w:r w:rsidRPr="000D406A">
              <w:rPr>
                <w:rFonts w:hint="cs"/>
                <w:sz w:val="26"/>
                <w:rtl/>
              </w:rPr>
              <w:t xml:space="preserve">חוק להגדלת שיעור ההשתתפות בכוח העבודה ולצמצום פערים חברתיים (מענק עבודה), </w:t>
            </w:r>
            <w:r w:rsidR="00833FE6" w:rsidRPr="000D406A">
              <w:rPr>
                <w:rFonts w:hint="cs"/>
                <w:sz w:val="26"/>
                <w:rtl/>
              </w:rPr>
              <w:t>ה</w:t>
            </w:r>
            <w:r w:rsidRPr="000D406A">
              <w:rPr>
                <w:rFonts w:hint="cs"/>
                <w:sz w:val="26"/>
                <w:rtl/>
              </w:rPr>
              <w:t>תשס"ח-2007</w:t>
            </w:r>
            <w:r w:rsidR="00B47C24" w:rsidRPr="000D406A">
              <w:rPr>
                <w:rStyle w:val="a6"/>
                <w:sz w:val="26"/>
                <w:rtl/>
              </w:rPr>
              <w:footnoteReference w:id="7"/>
            </w:r>
            <w:r w:rsidR="00595151" w:rsidRPr="000D406A">
              <w:rPr>
                <w:rFonts w:hint="cs"/>
                <w:sz w:val="26"/>
                <w:rtl/>
              </w:rPr>
              <w:t>, לגבי מענק עבודה המשתלם בעד הכנסה שהופק</w:t>
            </w:r>
            <w:r w:rsidR="00E40320" w:rsidRPr="000D406A">
              <w:rPr>
                <w:rFonts w:hint="cs"/>
                <w:sz w:val="26"/>
                <w:rtl/>
              </w:rPr>
              <w:t>ה</w:t>
            </w:r>
            <w:r w:rsidR="00595151" w:rsidRPr="000D406A">
              <w:rPr>
                <w:rFonts w:hint="cs"/>
                <w:sz w:val="26"/>
                <w:rtl/>
              </w:rPr>
              <w:t xml:space="preserve"> בשנת המס 2018, כך:</w:t>
            </w:r>
          </w:p>
        </w:tc>
      </w:tr>
      <w:tr w:rsidR="00193DFE" w:rsidRPr="000D406A">
        <w:trPr>
          <w:cantSplit/>
          <w:trHeight w:val="60"/>
        </w:trPr>
        <w:tc>
          <w:tcPr>
            <w:tcW w:w="1871" w:type="dxa"/>
          </w:tcPr>
          <w:p w:rsidR="00193DFE" w:rsidRPr="000D406A" w:rsidRDefault="00193DFE" w:rsidP="000D406A">
            <w:pPr>
              <w:pStyle w:val="TableSideHeading"/>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5898" w:type="dxa"/>
            <w:gridSpan w:val="3"/>
          </w:tcPr>
          <w:p w:rsidR="00193DFE" w:rsidRPr="000D406A" w:rsidRDefault="006465BD" w:rsidP="000D406A">
            <w:pPr>
              <w:pStyle w:val="TableBlock"/>
              <w:numPr>
                <w:ilvl w:val="0"/>
                <w:numId w:val="19"/>
              </w:numPr>
              <w:tabs>
                <w:tab w:val="left" w:pos="624"/>
              </w:tabs>
              <w:rPr>
                <w:sz w:val="26"/>
                <w:rtl/>
              </w:rPr>
            </w:pPr>
            <w:r w:rsidRPr="000D406A">
              <w:rPr>
                <w:rFonts w:hint="cs"/>
                <w:sz w:val="26"/>
                <w:rtl/>
              </w:rPr>
              <w:t>בסעיף 1, לפני ההגדרה "הכנסה חודשית ממוצעת" יבוא:</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rPr>
                <w:sz w:val="26"/>
              </w:rPr>
            </w:pPr>
            <w:r w:rsidRPr="000D406A">
              <w:rPr>
                <w:sz w:val="26"/>
                <w:rtl/>
              </w:rPr>
              <w:t>"</w:t>
            </w:r>
            <w:r w:rsidRPr="000D406A">
              <w:rPr>
                <w:rFonts w:hint="cs"/>
                <w:sz w:val="26"/>
                <w:rtl/>
              </w:rPr>
              <w:t xml:space="preserve">בן זוג" בשנת מס מסוימת </w:t>
            </w:r>
            <w:r w:rsidRPr="000D406A">
              <w:rPr>
                <w:sz w:val="26"/>
                <w:rtl/>
              </w:rPr>
              <w:t>–</w:t>
            </w:r>
            <w:r w:rsidRPr="000D406A">
              <w:rPr>
                <w:rFonts w:hint="cs"/>
                <w:sz w:val="26"/>
                <w:rtl/>
              </w:rPr>
              <w:t xml:space="preserve"> מי שהיה במשך כל שנת המס נשוי או ידוע בציבור, ובלבד שהו</w:t>
            </w:r>
            <w:r w:rsidR="00833FE6" w:rsidRPr="000D406A">
              <w:rPr>
                <w:rFonts w:hint="cs"/>
                <w:sz w:val="26"/>
                <w:rtl/>
              </w:rPr>
              <w:t>א מנהל משק בית משותף עם בן זוגו;</w:t>
            </w:r>
            <w:r w:rsidRPr="000D406A">
              <w:rPr>
                <w:rFonts w:hint="cs"/>
                <w:sz w:val="26"/>
                <w:rtl/>
              </w:rPr>
              <w:t xml:space="preserve">  </w:t>
            </w:r>
          </w:p>
        </w:tc>
      </w:tr>
      <w:tr w:rsidR="00193DFE" w:rsidRPr="000D406A">
        <w:trPr>
          <w:cantSplit/>
          <w:trHeight w:val="60"/>
        </w:trPr>
        <w:tc>
          <w:tcPr>
            <w:tcW w:w="1871" w:type="dxa"/>
          </w:tcPr>
          <w:p w:rsidR="00193DFE" w:rsidRPr="000D406A" w:rsidRDefault="00193DFE" w:rsidP="000D406A">
            <w:pPr>
              <w:pStyle w:val="TableSideHeading"/>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624" w:type="dxa"/>
          </w:tcPr>
          <w:p w:rsidR="00193DFE" w:rsidRPr="000D406A" w:rsidRDefault="00193DFE" w:rsidP="000D406A">
            <w:pPr>
              <w:pStyle w:val="TableText"/>
              <w:rPr>
                <w:sz w:val="26"/>
              </w:rPr>
            </w:pPr>
          </w:p>
        </w:tc>
        <w:tc>
          <w:tcPr>
            <w:tcW w:w="5898" w:type="dxa"/>
            <w:gridSpan w:val="3"/>
          </w:tcPr>
          <w:p w:rsidR="00193DFE" w:rsidRPr="000D406A" w:rsidRDefault="006465BD" w:rsidP="000D406A">
            <w:pPr>
              <w:pStyle w:val="TableBlock"/>
              <w:numPr>
                <w:ilvl w:val="0"/>
                <w:numId w:val="19"/>
              </w:numPr>
              <w:tabs>
                <w:tab w:val="left" w:pos="624"/>
              </w:tabs>
              <w:rPr>
                <w:sz w:val="26"/>
                <w:rtl/>
              </w:rPr>
            </w:pPr>
            <w:r w:rsidRPr="000D406A">
              <w:rPr>
                <w:rFonts w:hint="cs"/>
                <w:sz w:val="26"/>
                <w:rtl/>
              </w:rPr>
              <w:t>בסעיף 2 -</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4"/>
              </w:numPr>
              <w:tabs>
                <w:tab w:val="left" w:pos="624"/>
              </w:tabs>
              <w:rPr>
                <w:sz w:val="26"/>
              </w:rPr>
            </w:pPr>
            <w:r w:rsidRPr="000D406A">
              <w:rPr>
                <w:rFonts w:hint="cs"/>
                <w:sz w:val="26"/>
                <w:rtl/>
              </w:rPr>
              <w:t>בכל מקום, במקום "4,780" יבוא "5,000";</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4"/>
              </w:numPr>
              <w:tabs>
                <w:tab w:val="left" w:pos="624"/>
              </w:tabs>
              <w:rPr>
                <w:sz w:val="26"/>
                <w:rtl/>
              </w:rPr>
            </w:pPr>
            <w:r w:rsidRPr="000D406A">
              <w:rPr>
                <w:rFonts w:hint="cs"/>
                <w:sz w:val="26"/>
                <w:rtl/>
              </w:rPr>
              <w:t xml:space="preserve">בפסקה(1)(ג), המילים "ואינה עולה על 6,210 שקלים חדשים" </w:t>
            </w:r>
            <w:r w:rsidRPr="000D406A">
              <w:rPr>
                <w:sz w:val="26"/>
                <w:rtl/>
              </w:rPr>
              <w:t>–</w:t>
            </w:r>
            <w:r w:rsidRPr="000D406A">
              <w:rPr>
                <w:rFonts w:hint="cs"/>
                <w:sz w:val="26"/>
                <w:rtl/>
              </w:rPr>
              <w:t xml:space="preserve"> יימחקו;</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4"/>
              </w:numPr>
              <w:tabs>
                <w:tab w:val="left" w:pos="624"/>
              </w:tabs>
              <w:rPr>
                <w:sz w:val="26"/>
                <w:rtl/>
              </w:rPr>
            </w:pPr>
            <w:r w:rsidRPr="000D406A">
              <w:rPr>
                <w:rFonts w:hint="cs"/>
                <w:sz w:val="26"/>
                <w:rtl/>
              </w:rPr>
              <w:t xml:space="preserve">בפסקה (2)(ג), המילים "ואינה עולה על 6,810 שקלים חדשים" </w:t>
            </w:r>
            <w:r w:rsidRPr="000D406A">
              <w:rPr>
                <w:sz w:val="26"/>
                <w:rtl/>
              </w:rPr>
              <w:t>–</w:t>
            </w:r>
            <w:r w:rsidR="00833FE6" w:rsidRPr="000D406A">
              <w:rPr>
                <w:rFonts w:hint="cs"/>
                <w:sz w:val="26"/>
                <w:rtl/>
              </w:rPr>
              <w:t xml:space="preserve"> יימחקו";</w:t>
            </w:r>
          </w:p>
        </w:tc>
      </w:tr>
      <w:tr w:rsidR="006465BD" w:rsidRPr="000D406A" w:rsidTr="007C3266">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898" w:type="dxa"/>
            <w:gridSpan w:val="3"/>
          </w:tcPr>
          <w:p w:rsidR="006465BD" w:rsidRPr="000D406A" w:rsidRDefault="006465BD" w:rsidP="000D406A">
            <w:pPr>
              <w:pStyle w:val="TableBlock"/>
              <w:numPr>
                <w:ilvl w:val="0"/>
                <w:numId w:val="19"/>
              </w:numPr>
              <w:tabs>
                <w:tab w:val="left" w:pos="624"/>
              </w:tabs>
              <w:rPr>
                <w:sz w:val="26"/>
                <w:rtl/>
              </w:rPr>
            </w:pPr>
            <w:r w:rsidRPr="000D406A">
              <w:rPr>
                <w:rFonts w:hint="cs"/>
                <w:sz w:val="26"/>
                <w:rtl/>
              </w:rPr>
              <w:t>בסעיף 4, בכל מ</w:t>
            </w:r>
            <w:r w:rsidR="00833FE6" w:rsidRPr="000D406A">
              <w:rPr>
                <w:rFonts w:hint="cs"/>
                <w:sz w:val="26"/>
                <w:rtl/>
              </w:rPr>
              <w:t>קום, במקום "4,780" יבוא "5,000";</w:t>
            </w:r>
          </w:p>
        </w:tc>
      </w:tr>
      <w:tr w:rsidR="006465BD" w:rsidRPr="000D406A" w:rsidTr="007C3266">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898" w:type="dxa"/>
            <w:gridSpan w:val="3"/>
          </w:tcPr>
          <w:p w:rsidR="006465BD" w:rsidRPr="000D406A" w:rsidRDefault="006465BD" w:rsidP="000D406A">
            <w:pPr>
              <w:pStyle w:val="TableBlock"/>
              <w:numPr>
                <w:ilvl w:val="0"/>
                <w:numId w:val="19"/>
              </w:numPr>
              <w:tabs>
                <w:tab w:val="left" w:pos="624"/>
              </w:tabs>
              <w:rPr>
                <w:sz w:val="26"/>
              </w:rPr>
            </w:pPr>
            <w:r w:rsidRPr="000D406A">
              <w:rPr>
                <w:rFonts w:hint="cs"/>
                <w:sz w:val="26"/>
                <w:rtl/>
              </w:rPr>
              <w:t>בסעיף 5(ב)(2)</w:t>
            </w:r>
            <w:r w:rsidRPr="000D406A">
              <w:rPr>
                <w:sz w:val="26"/>
                <w:rtl/>
              </w:rPr>
              <w:t>–</w:t>
            </w:r>
            <w:r w:rsidRPr="000D406A">
              <w:rPr>
                <w:rFonts w:hint="cs"/>
                <w:sz w:val="26"/>
                <w:rtl/>
              </w:rPr>
              <w:t xml:space="preserve">  </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3"/>
              </w:numPr>
              <w:tabs>
                <w:tab w:val="left" w:pos="624"/>
              </w:tabs>
              <w:rPr>
                <w:sz w:val="26"/>
              </w:rPr>
            </w:pPr>
            <w:r w:rsidRPr="000D406A">
              <w:rPr>
                <w:rFonts w:hint="cs"/>
                <w:sz w:val="26"/>
                <w:rtl/>
              </w:rPr>
              <w:t xml:space="preserve">ברישא, </w:t>
            </w:r>
            <w:r w:rsidRPr="000D406A">
              <w:rPr>
                <w:sz w:val="26"/>
                <w:rtl/>
              </w:rPr>
              <w:t xml:space="preserve">במקום </w:t>
            </w:r>
            <w:r w:rsidRPr="000D406A">
              <w:rPr>
                <w:rFonts w:hint="cs"/>
                <w:sz w:val="26"/>
                <w:rtl/>
              </w:rPr>
              <w:t>"</w:t>
            </w:r>
            <w:r w:rsidRPr="000D406A">
              <w:rPr>
                <w:sz w:val="26"/>
                <w:rtl/>
              </w:rPr>
              <w:t>11,940</w:t>
            </w:r>
            <w:r w:rsidRPr="000D406A">
              <w:rPr>
                <w:rFonts w:hint="cs"/>
                <w:sz w:val="26"/>
                <w:rtl/>
              </w:rPr>
              <w:t>"</w:t>
            </w:r>
            <w:r w:rsidRPr="000D406A">
              <w:rPr>
                <w:sz w:val="26"/>
                <w:rtl/>
              </w:rPr>
              <w:t xml:space="preserve"> </w:t>
            </w:r>
            <w:r w:rsidRPr="000D406A">
              <w:rPr>
                <w:rFonts w:hint="cs"/>
                <w:sz w:val="26"/>
                <w:rtl/>
              </w:rPr>
              <w:t>י</w:t>
            </w:r>
            <w:r w:rsidRPr="000D406A">
              <w:rPr>
                <w:sz w:val="26"/>
                <w:rtl/>
              </w:rPr>
              <w:t xml:space="preserve">בוא </w:t>
            </w:r>
            <w:r w:rsidRPr="000D406A">
              <w:rPr>
                <w:rFonts w:hint="cs"/>
                <w:sz w:val="26"/>
                <w:rtl/>
              </w:rPr>
              <w:t>"</w:t>
            </w:r>
            <w:r w:rsidRPr="000D406A">
              <w:rPr>
                <w:sz w:val="26"/>
                <w:rtl/>
              </w:rPr>
              <w:t>12,380</w:t>
            </w:r>
            <w:r w:rsidRPr="000D406A">
              <w:rPr>
                <w:rFonts w:hint="cs"/>
                <w:sz w:val="26"/>
                <w:rtl/>
              </w:rPr>
              <w:t>";</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3"/>
              </w:numPr>
              <w:tabs>
                <w:tab w:val="left" w:pos="624"/>
              </w:tabs>
              <w:rPr>
                <w:sz w:val="26"/>
                <w:rtl/>
              </w:rPr>
            </w:pPr>
            <w:r w:rsidRPr="000D406A">
              <w:rPr>
                <w:rFonts w:hint="cs"/>
                <w:sz w:val="26"/>
                <w:rtl/>
              </w:rPr>
              <w:t>בפסקה (א), במקום "4,780" יבוא "5,000";</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3"/>
              </w:numPr>
              <w:tabs>
                <w:tab w:val="left" w:pos="624"/>
              </w:tabs>
              <w:rPr>
                <w:sz w:val="26"/>
                <w:rtl/>
              </w:rPr>
            </w:pPr>
            <w:r w:rsidRPr="000D406A">
              <w:rPr>
                <w:rFonts w:hint="cs"/>
                <w:sz w:val="26"/>
                <w:rtl/>
              </w:rPr>
              <w:t xml:space="preserve">בפסקה (ב), במקום </w:t>
            </w:r>
            <w:r w:rsidR="00833FE6" w:rsidRPr="000D406A">
              <w:rPr>
                <w:rFonts w:hint="cs"/>
                <w:sz w:val="26"/>
                <w:rtl/>
              </w:rPr>
              <w:t>"4,780" יבוא "5,000";</w:t>
            </w:r>
          </w:p>
        </w:tc>
      </w:tr>
      <w:tr w:rsidR="006465BD" w:rsidRPr="000D406A" w:rsidTr="00B649F4">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898" w:type="dxa"/>
            <w:gridSpan w:val="3"/>
          </w:tcPr>
          <w:p w:rsidR="006465BD" w:rsidRPr="000D406A" w:rsidRDefault="006465BD" w:rsidP="000D406A">
            <w:pPr>
              <w:pStyle w:val="TableBlock"/>
              <w:numPr>
                <w:ilvl w:val="0"/>
                <w:numId w:val="19"/>
              </w:numPr>
              <w:tabs>
                <w:tab w:val="left" w:pos="624"/>
              </w:tabs>
              <w:rPr>
                <w:sz w:val="26"/>
                <w:rtl/>
              </w:rPr>
            </w:pPr>
            <w:r w:rsidRPr="000D406A">
              <w:rPr>
                <w:rFonts w:hint="cs"/>
                <w:sz w:val="26"/>
                <w:rtl/>
              </w:rPr>
              <w:t>בסעיף 6, במקום "4,780" יבוא "5,000"</w:t>
            </w:r>
            <w:r w:rsidR="00833FE6" w:rsidRPr="000D406A">
              <w:rPr>
                <w:rFonts w:hint="cs"/>
                <w:sz w:val="26"/>
                <w:rtl/>
              </w:rPr>
              <w:t>;</w:t>
            </w:r>
          </w:p>
        </w:tc>
      </w:tr>
      <w:tr w:rsidR="006465BD" w:rsidRPr="000D406A" w:rsidTr="00B649F4">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898" w:type="dxa"/>
            <w:gridSpan w:val="3"/>
          </w:tcPr>
          <w:p w:rsidR="006465BD" w:rsidRPr="000D406A" w:rsidRDefault="006465BD" w:rsidP="000D406A">
            <w:pPr>
              <w:pStyle w:val="TableBlock"/>
              <w:numPr>
                <w:ilvl w:val="0"/>
                <w:numId w:val="19"/>
              </w:numPr>
              <w:tabs>
                <w:tab w:val="left" w:pos="624"/>
              </w:tabs>
              <w:rPr>
                <w:sz w:val="26"/>
                <w:rtl/>
              </w:rPr>
            </w:pPr>
            <w:r w:rsidRPr="000D406A">
              <w:rPr>
                <w:rFonts w:hint="cs"/>
                <w:sz w:val="26"/>
                <w:rtl/>
              </w:rPr>
              <w:t>בסעיף 6א</w:t>
            </w:r>
            <w:r w:rsidRPr="000D406A">
              <w:rPr>
                <w:sz w:val="26"/>
                <w:rtl/>
              </w:rPr>
              <w:t>–</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5"/>
              </w:numPr>
              <w:tabs>
                <w:tab w:val="left" w:pos="624"/>
              </w:tabs>
              <w:rPr>
                <w:sz w:val="26"/>
              </w:rPr>
            </w:pPr>
            <w:r w:rsidRPr="000D406A">
              <w:rPr>
                <w:rFonts w:hint="cs"/>
                <w:sz w:val="26"/>
                <w:rtl/>
              </w:rPr>
              <w:t>בכותרת, במקום "מענק מוגדל לאם עובד</w:t>
            </w:r>
            <w:r w:rsidR="00833FE6" w:rsidRPr="000D406A">
              <w:rPr>
                <w:rFonts w:hint="cs"/>
                <w:sz w:val="26"/>
                <w:rtl/>
              </w:rPr>
              <w:t>ת" יבוא "מענק מוגדל להורה עובד";</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5"/>
              </w:numPr>
              <w:tabs>
                <w:tab w:val="left" w:pos="624"/>
              </w:tabs>
              <w:rPr>
                <w:sz w:val="26"/>
                <w:rtl/>
              </w:rPr>
            </w:pPr>
            <w:r w:rsidRPr="000D406A">
              <w:rPr>
                <w:rFonts w:hint="cs"/>
                <w:sz w:val="26"/>
                <w:rtl/>
              </w:rPr>
              <w:t>בסעיף קטן (א) במקום "עובדת שהיא אם לילד אחד או יותר, הזכאית למענק לפי הסעיפים האמורים, תהיה זכאית" יבוא "עובד שלו ילד אחד או יותר בשנת המס, הזכאי למענק לפי הסעיפים האמורים, יהא זכאי</w:t>
            </w:r>
            <w:r w:rsidR="00833FE6" w:rsidRPr="000D406A">
              <w:rPr>
                <w:rFonts w:hint="cs"/>
                <w:sz w:val="26"/>
                <w:rtl/>
              </w:rPr>
              <w:t>";</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5274" w:type="dxa"/>
            <w:gridSpan w:val="2"/>
          </w:tcPr>
          <w:p w:rsidR="006465BD" w:rsidRPr="000D406A" w:rsidRDefault="006465BD" w:rsidP="000D406A">
            <w:pPr>
              <w:pStyle w:val="TableBlock"/>
              <w:numPr>
                <w:ilvl w:val="0"/>
                <w:numId w:val="35"/>
              </w:numPr>
              <w:tabs>
                <w:tab w:val="left" w:pos="624"/>
              </w:tabs>
              <w:rPr>
                <w:sz w:val="26"/>
                <w:rtl/>
              </w:rPr>
            </w:pPr>
            <w:r w:rsidRPr="000D406A">
              <w:rPr>
                <w:rFonts w:hint="cs"/>
                <w:sz w:val="26"/>
                <w:rtl/>
              </w:rPr>
              <w:t>אחרי סעיף קטן (א) יבוא:</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4650" w:type="dxa"/>
          </w:tcPr>
          <w:p w:rsidR="006465BD" w:rsidRPr="000D406A" w:rsidRDefault="006465BD" w:rsidP="000D406A">
            <w:pPr>
              <w:pStyle w:val="TableBlock"/>
              <w:rPr>
                <w:sz w:val="26"/>
              </w:rPr>
            </w:pPr>
            <w:r w:rsidRPr="000D406A">
              <w:rPr>
                <w:rFonts w:hint="cs"/>
                <w:sz w:val="26"/>
                <w:rtl/>
              </w:rPr>
              <w:t xml:space="preserve">"(א1) </w:t>
            </w:r>
            <w:r w:rsidRPr="000D406A">
              <w:rPr>
                <w:sz w:val="26"/>
                <w:rtl/>
              </w:rPr>
              <w:t xml:space="preserve">בנוסף על האמור בסעיף קטן (א), עובד כאמור בסעיף הקטן האמור שיש לו בן זוג עובד, </w:t>
            </w:r>
            <w:r w:rsidRPr="000D406A">
              <w:rPr>
                <w:rFonts w:hint="cs"/>
                <w:sz w:val="26"/>
                <w:rtl/>
              </w:rPr>
              <w:t xml:space="preserve">יהא </w:t>
            </w:r>
            <w:r w:rsidRPr="000D406A">
              <w:rPr>
                <w:sz w:val="26"/>
                <w:rtl/>
              </w:rPr>
              <w:t xml:space="preserve">זכאי לתוספת מענק בעד כל חודש עבודה בפועל שלא עבד בו אצל קרוב, בסכום המתקבל מהכפלת סכום המענק החודשי במקדם. לענין סעיף </w:t>
            </w:r>
            <w:r w:rsidRPr="000D406A">
              <w:rPr>
                <w:rFonts w:hint="cs"/>
                <w:sz w:val="26"/>
                <w:rtl/>
              </w:rPr>
              <w:t xml:space="preserve">קטן </w:t>
            </w:r>
            <w:r w:rsidRPr="000D406A">
              <w:rPr>
                <w:sz w:val="26"/>
                <w:rtl/>
              </w:rPr>
              <w:t>זה</w:t>
            </w:r>
            <w:r w:rsidR="00833FE6" w:rsidRPr="000D406A">
              <w:rPr>
                <w:rFonts w:hint="cs"/>
                <w:sz w:val="26"/>
                <w:rtl/>
              </w:rPr>
              <w:t xml:space="preserve"> -</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4650" w:type="dxa"/>
          </w:tcPr>
          <w:p w:rsidR="006465BD" w:rsidRPr="000D406A" w:rsidRDefault="006465BD" w:rsidP="000D406A">
            <w:pPr>
              <w:pStyle w:val="TableBlock"/>
              <w:rPr>
                <w:sz w:val="26"/>
                <w:rtl/>
              </w:rPr>
            </w:pPr>
            <w:r w:rsidRPr="000D406A">
              <w:rPr>
                <w:sz w:val="26"/>
                <w:rtl/>
              </w:rPr>
              <w:t xml:space="preserve">"בן זוג </w:t>
            </w:r>
            <w:r w:rsidRPr="000D406A">
              <w:rPr>
                <w:rFonts w:hint="cs"/>
                <w:sz w:val="26"/>
                <w:rtl/>
              </w:rPr>
              <w:t>עובד</w:t>
            </w:r>
            <w:r w:rsidRPr="000D406A">
              <w:rPr>
                <w:sz w:val="26"/>
                <w:rtl/>
              </w:rPr>
              <w:t>" – בן זוג,  ש</w:t>
            </w:r>
            <w:r w:rsidRPr="000D406A">
              <w:rPr>
                <w:rFonts w:hint="cs"/>
                <w:sz w:val="26"/>
                <w:rtl/>
              </w:rPr>
              <w:t>הוא עובד או עצמאי ש</w:t>
            </w:r>
            <w:r w:rsidRPr="000D406A">
              <w:rPr>
                <w:sz w:val="26"/>
                <w:rtl/>
              </w:rPr>
              <w:t>הכנס</w:t>
            </w:r>
            <w:r w:rsidRPr="000D406A">
              <w:rPr>
                <w:rFonts w:hint="cs"/>
                <w:sz w:val="26"/>
                <w:rtl/>
              </w:rPr>
              <w:t>תו</w:t>
            </w:r>
            <w:r w:rsidRPr="000D406A">
              <w:rPr>
                <w:sz w:val="26"/>
                <w:rtl/>
              </w:rPr>
              <w:t xml:space="preserve"> החודשית הממוצעת </w:t>
            </w:r>
            <w:r w:rsidRPr="000D406A">
              <w:rPr>
                <w:rFonts w:hint="cs"/>
                <w:sz w:val="26"/>
                <w:rtl/>
              </w:rPr>
              <w:t>אינה פחותה מסכום ההכנסה החודשית הממוצעת הנמוכה ביותר המאפשרת קבלת מענק לפי סעיף 2(1)(ב);</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4650" w:type="dxa"/>
          </w:tcPr>
          <w:p w:rsidR="006465BD" w:rsidRPr="000D406A" w:rsidRDefault="006465BD" w:rsidP="000D406A">
            <w:pPr>
              <w:pStyle w:val="TableBlock"/>
              <w:rPr>
                <w:sz w:val="26"/>
                <w:rtl/>
              </w:rPr>
            </w:pPr>
            <w:r w:rsidRPr="000D406A">
              <w:rPr>
                <w:sz w:val="26"/>
                <w:rtl/>
              </w:rPr>
              <w:t>"</w:t>
            </w:r>
            <w:r w:rsidRPr="000D406A">
              <w:rPr>
                <w:rFonts w:hint="cs"/>
                <w:sz w:val="26"/>
                <w:rtl/>
              </w:rPr>
              <w:t>מקדם" - התוצאה המתקבלת מהכפלת 30% בשיעור העבודה המשפחתית;</w:t>
            </w:r>
          </w:p>
        </w:tc>
      </w:tr>
      <w:tr w:rsidR="006465BD" w:rsidRPr="000D406A">
        <w:trPr>
          <w:cantSplit/>
          <w:trHeight w:val="60"/>
        </w:trPr>
        <w:tc>
          <w:tcPr>
            <w:tcW w:w="1871" w:type="dxa"/>
          </w:tcPr>
          <w:p w:rsidR="006465BD" w:rsidRPr="000D406A" w:rsidRDefault="006465BD" w:rsidP="000D406A">
            <w:pPr>
              <w:pStyle w:val="TableSideHeading"/>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624" w:type="dxa"/>
          </w:tcPr>
          <w:p w:rsidR="006465BD" w:rsidRPr="000D406A" w:rsidRDefault="006465BD" w:rsidP="000D406A">
            <w:pPr>
              <w:pStyle w:val="TableText"/>
              <w:rPr>
                <w:sz w:val="26"/>
              </w:rPr>
            </w:pPr>
          </w:p>
        </w:tc>
        <w:tc>
          <w:tcPr>
            <w:tcW w:w="4650" w:type="dxa"/>
          </w:tcPr>
          <w:p w:rsidR="006465BD" w:rsidRPr="000D406A" w:rsidRDefault="006465BD" w:rsidP="000D406A">
            <w:pPr>
              <w:pStyle w:val="TableBlock"/>
              <w:rPr>
                <w:sz w:val="26"/>
                <w:rtl/>
              </w:rPr>
            </w:pPr>
            <w:r w:rsidRPr="000D406A">
              <w:rPr>
                <w:sz w:val="26"/>
                <w:rtl/>
              </w:rPr>
              <w:t>"חודשי העבודה המשפחתית" -  מספר חודשי העבודה בפועל שבו מקבל המענק לא עבד אצל קרוב, או מספר חודשי העבודה בפועל שבו הבן זוג העובד של מבקש המענק לא עבד אצל קרוב, לפי הנמוך</w:t>
            </w:r>
            <w:r w:rsidR="00F44D69" w:rsidRPr="000D406A">
              <w:rPr>
                <w:rFonts w:hint="cs"/>
                <w:sz w:val="26"/>
                <w:rtl/>
              </w:rPr>
              <w:t>;</w:t>
            </w:r>
          </w:p>
        </w:tc>
      </w:tr>
      <w:tr w:rsidR="00F44D69" w:rsidRPr="000D406A">
        <w:trPr>
          <w:cantSplit/>
          <w:trHeight w:val="60"/>
        </w:trPr>
        <w:tc>
          <w:tcPr>
            <w:tcW w:w="1871" w:type="dxa"/>
          </w:tcPr>
          <w:p w:rsidR="00F44D69" w:rsidRPr="000D406A" w:rsidRDefault="00F44D69" w:rsidP="000D406A">
            <w:pPr>
              <w:pStyle w:val="TableSideHeading"/>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4650" w:type="dxa"/>
          </w:tcPr>
          <w:p w:rsidR="00F44D69" w:rsidRPr="000D406A" w:rsidRDefault="00F44D69" w:rsidP="000D406A">
            <w:pPr>
              <w:pStyle w:val="TableBlock"/>
              <w:rPr>
                <w:sz w:val="26"/>
                <w:rtl/>
              </w:rPr>
            </w:pPr>
            <w:r w:rsidRPr="000D406A">
              <w:rPr>
                <w:sz w:val="26"/>
                <w:rtl/>
              </w:rPr>
              <w:t>"</w:t>
            </w:r>
            <w:r w:rsidRPr="000D406A">
              <w:rPr>
                <w:rFonts w:hint="cs"/>
                <w:sz w:val="26"/>
                <w:rtl/>
              </w:rPr>
              <w:t xml:space="preserve">שיעור העבודה המשפחתית" </w:t>
            </w:r>
            <w:r w:rsidRPr="000D406A">
              <w:rPr>
                <w:sz w:val="26"/>
                <w:rtl/>
              </w:rPr>
              <w:t>–</w:t>
            </w:r>
            <w:r w:rsidRPr="000D406A">
              <w:rPr>
                <w:rFonts w:hint="cs"/>
                <w:sz w:val="26"/>
                <w:rtl/>
              </w:rPr>
              <w:t xml:space="preserve"> התוצאה המתקבלת מחלוקת מספר חודשי העבודה המשפחתית ב-12."</w:t>
            </w:r>
            <w:r w:rsidR="000D406A" w:rsidRPr="000D406A">
              <w:rPr>
                <w:rFonts w:hint="cs"/>
                <w:sz w:val="26"/>
                <w:rtl/>
              </w:rPr>
              <w:t>;</w:t>
            </w:r>
          </w:p>
        </w:tc>
      </w:tr>
      <w:tr w:rsidR="00F44D69" w:rsidRPr="000D406A" w:rsidTr="00B928F6">
        <w:trPr>
          <w:cantSplit/>
          <w:trHeight w:val="60"/>
        </w:trPr>
        <w:tc>
          <w:tcPr>
            <w:tcW w:w="1871" w:type="dxa"/>
          </w:tcPr>
          <w:p w:rsidR="00F44D69" w:rsidRPr="000D406A" w:rsidRDefault="00F44D69" w:rsidP="000D406A">
            <w:pPr>
              <w:pStyle w:val="TableSideHeading"/>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5274" w:type="dxa"/>
            <w:gridSpan w:val="2"/>
          </w:tcPr>
          <w:p w:rsidR="00F44D69" w:rsidRPr="000D406A" w:rsidRDefault="00F44D69" w:rsidP="000D406A">
            <w:pPr>
              <w:pStyle w:val="TableBlock"/>
              <w:numPr>
                <w:ilvl w:val="0"/>
                <w:numId w:val="35"/>
              </w:numPr>
              <w:tabs>
                <w:tab w:val="left" w:pos="624"/>
              </w:tabs>
              <w:rPr>
                <w:sz w:val="26"/>
                <w:rtl/>
              </w:rPr>
            </w:pPr>
            <w:r w:rsidRPr="000D406A">
              <w:rPr>
                <w:rFonts w:hint="cs"/>
                <w:sz w:val="26"/>
                <w:rtl/>
              </w:rPr>
              <w:t>בסעיף קטן (ב) במקום "עובדת שהיא הורה י</w:t>
            </w:r>
            <w:r w:rsidR="000D406A" w:rsidRPr="000D406A">
              <w:rPr>
                <w:rFonts w:hint="cs"/>
                <w:sz w:val="26"/>
                <w:rtl/>
              </w:rPr>
              <w:t>חיד" יבוא "עובד שהוא הורה יחיד";</w:t>
            </w:r>
          </w:p>
        </w:tc>
      </w:tr>
      <w:tr w:rsidR="00F44D69" w:rsidRPr="000D406A" w:rsidTr="00A064C1">
        <w:trPr>
          <w:cantSplit/>
          <w:trHeight w:val="60"/>
        </w:trPr>
        <w:tc>
          <w:tcPr>
            <w:tcW w:w="1871" w:type="dxa"/>
          </w:tcPr>
          <w:p w:rsidR="00F44D69" w:rsidRPr="000D406A" w:rsidRDefault="00F44D69" w:rsidP="000D406A">
            <w:pPr>
              <w:pStyle w:val="TableSideHeading"/>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624" w:type="dxa"/>
          </w:tcPr>
          <w:p w:rsidR="00F44D69" w:rsidRPr="000D406A" w:rsidRDefault="00F44D69" w:rsidP="000D406A">
            <w:pPr>
              <w:pStyle w:val="TableText"/>
              <w:rPr>
                <w:sz w:val="26"/>
              </w:rPr>
            </w:pPr>
          </w:p>
        </w:tc>
        <w:tc>
          <w:tcPr>
            <w:tcW w:w="5898" w:type="dxa"/>
            <w:gridSpan w:val="3"/>
          </w:tcPr>
          <w:p w:rsidR="00F44D69" w:rsidRPr="000D406A" w:rsidRDefault="00F44D69" w:rsidP="000D406A">
            <w:pPr>
              <w:pStyle w:val="TableBlock"/>
              <w:numPr>
                <w:ilvl w:val="0"/>
                <w:numId w:val="19"/>
              </w:numPr>
              <w:tabs>
                <w:tab w:val="left" w:pos="624"/>
              </w:tabs>
              <w:rPr>
                <w:sz w:val="26"/>
                <w:rtl/>
              </w:rPr>
            </w:pPr>
            <w:r w:rsidRPr="000D406A">
              <w:rPr>
                <w:rFonts w:hint="cs"/>
                <w:sz w:val="26"/>
                <w:rtl/>
              </w:rPr>
              <w:t>בסעיף 6ב(א), ברישא, אחרי "בסעיף 2" יבוא "ובסעיף 6א"</w:t>
            </w:r>
            <w:r w:rsidR="00C86C66" w:rsidRPr="000D406A">
              <w:rPr>
                <w:rFonts w:hint="cs"/>
                <w:sz w:val="26"/>
                <w:rtl/>
              </w:rPr>
              <w:t>;</w:t>
            </w:r>
          </w:p>
        </w:tc>
      </w:tr>
      <w:tr w:rsidR="00C86C66" w:rsidRPr="000D406A" w:rsidTr="00A064C1">
        <w:trPr>
          <w:cantSplit/>
          <w:trHeight w:val="60"/>
        </w:trPr>
        <w:tc>
          <w:tcPr>
            <w:tcW w:w="1871" w:type="dxa"/>
          </w:tcPr>
          <w:p w:rsidR="00C86C66" w:rsidRPr="000D406A" w:rsidRDefault="00C86C66" w:rsidP="000D406A">
            <w:pPr>
              <w:pStyle w:val="TableSideHeading"/>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5898" w:type="dxa"/>
            <w:gridSpan w:val="3"/>
          </w:tcPr>
          <w:p w:rsidR="00C86C66" w:rsidRPr="000D406A" w:rsidRDefault="00C86C66" w:rsidP="000D406A">
            <w:pPr>
              <w:pStyle w:val="TableBlock"/>
              <w:numPr>
                <w:ilvl w:val="0"/>
                <w:numId w:val="19"/>
              </w:numPr>
              <w:tabs>
                <w:tab w:val="left" w:pos="624"/>
              </w:tabs>
              <w:rPr>
                <w:sz w:val="26"/>
                <w:rtl/>
              </w:rPr>
            </w:pPr>
            <w:r w:rsidRPr="000D406A">
              <w:rPr>
                <w:rFonts w:hint="cs"/>
                <w:sz w:val="26"/>
                <w:rtl/>
              </w:rPr>
              <w:t>בסעיף 8</w:t>
            </w:r>
            <w:r w:rsidR="000D406A" w:rsidRPr="000D406A">
              <w:rPr>
                <w:rFonts w:hint="cs"/>
                <w:sz w:val="26"/>
                <w:rtl/>
              </w:rPr>
              <w:t xml:space="preserve"> </w:t>
            </w:r>
            <w:r w:rsidRPr="000D406A">
              <w:rPr>
                <w:rFonts w:hint="cs"/>
                <w:sz w:val="26"/>
                <w:rtl/>
              </w:rPr>
              <w:t>-</w:t>
            </w:r>
          </w:p>
        </w:tc>
      </w:tr>
      <w:tr w:rsidR="00C86C66" w:rsidRPr="000D406A">
        <w:trPr>
          <w:cantSplit/>
          <w:trHeight w:val="60"/>
        </w:trPr>
        <w:tc>
          <w:tcPr>
            <w:tcW w:w="1871" w:type="dxa"/>
          </w:tcPr>
          <w:p w:rsidR="00C86C66" w:rsidRPr="000D406A" w:rsidRDefault="00C86C66" w:rsidP="000D406A">
            <w:pPr>
              <w:pStyle w:val="TableSideHeading"/>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5274" w:type="dxa"/>
            <w:gridSpan w:val="2"/>
          </w:tcPr>
          <w:p w:rsidR="00C86C66" w:rsidRPr="000D406A" w:rsidRDefault="00C86C66" w:rsidP="000D406A">
            <w:pPr>
              <w:pStyle w:val="TableBlock"/>
              <w:numPr>
                <w:ilvl w:val="0"/>
                <w:numId w:val="37"/>
              </w:numPr>
              <w:tabs>
                <w:tab w:val="left" w:pos="624"/>
              </w:tabs>
              <w:rPr>
                <w:sz w:val="26"/>
              </w:rPr>
            </w:pPr>
            <w:r w:rsidRPr="000D406A">
              <w:rPr>
                <w:rFonts w:hint="cs"/>
                <w:sz w:val="26"/>
                <w:rtl/>
              </w:rPr>
              <w:t>בסעיף קטן (א), בכל מקום, במקום "ב-1 ביוני" יבוא "ב-1 בינואר";</w:t>
            </w:r>
          </w:p>
        </w:tc>
      </w:tr>
      <w:tr w:rsidR="00C86C66" w:rsidRPr="000D406A">
        <w:trPr>
          <w:cantSplit/>
          <w:trHeight w:val="60"/>
        </w:trPr>
        <w:tc>
          <w:tcPr>
            <w:tcW w:w="1871" w:type="dxa"/>
          </w:tcPr>
          <w:p w:rsidR="00C86C66" w:rsidRPr="000D406A" w:rsidRDefault="00C86C66" w:rsidP="000D406A">
            <w:pPr>
              <w:pStyle w:val="TableSideHeading"/>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5274" w:type="dxa"/>
            <w:gridSpan w:val="2"/>
          </w:tcPr>
          <w:p w:rsidR="00C86C66" w:rsidRPr="000D406A" w:rsidRDefault="00C86C66" w:rsidP="000D406A">
            <w:pPr>
              <w:pStyle w:val="TableBlock"/>
              <w:numPr>
                <w:ilvl w:val="0"/>
                <w:numId w:val="37"/>
              </w:numPr>
              <w:tabs>
                <w:tab w:val="left" w:pos="624"/>
              </w:tabs>
              <w:rPr>
                <w:sz w:val="26"/>
                <w:rtl/>
              </w:rPr>
            </w:pPr>
            <w:r w:rsidRPr="000D406A">
              <w:rPr>
                <w:rFonts w:hint="cs"/>
                <w:sz w:val="26"/>
                <w:rtl/>
              </w:rPr>
              <w:t xml:space="preserve">בסעיף קטן (ב), במקום "שר האוצר" יבוא "המנהל", ובמקום "עד יום 31 באוגוסט של כל שנה" </w:t>
            </w:r>
            <w:r w:rsidR="000D406A" w:rsidRPr="000D406A">
              <w:rPr>
                <w:rFonts w:hint="cs"/>
                <w:sz w:val="26"/>
                <w:rtl/>
              </w:rPr>
              <w:t>יבוא "עד יום 31 במרץ של כל שנה";</w:t>
            </w:r>
          </w:p>
        </w:tc>
      </w:tr>
      <w:tr w:rsidR="00C86C66" w:rsidRPr="000D406A" w:rsidTr="00D62F58">
        <w:trPr>
          <w:cantSplit/>
          <w:trHeight w:val="60"/>
        </w:trPr>
        <w:tc>
          <w:tcPr>
            <w:tcW w:w="1871" w:type="dxa"/>
          </w:tcPr>
          <w:p w:rsidR="00C86C66" w:rsidRPr="000D406A" w:rsidRDefault="00C86C66" w:rsidP="000D406A">
            <w:pPr>
              <w:pStyle w:val="TableSideHeading"/>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624" w:type="dxa"/>
          </w:tcPr>
          <w:p w:rsidR="00C86C66" w:rsidRPr="000D406A" w:rsidRDefault="00C86C66" w:rsidP="000D406A">
            <w:pPr>
              <w:pStyle w:val="TableText"/>
              <w:rPr>
                <w:sz w:val="26"/>
              </w:rPr>
            </w:pPr>
          </w:p>
        </w:tc>
        <w:tc>
          <w:tcPr>
            <w:tcW w:w="5898" w:type="dxa"/>
            <w:gridSpan w:val="3"/>
          </w:tcPr>
          <w:p w:rsidR="00C86C66" w:rsidRPr="000D406A" w:rsidRDefault="00C86C66" w:rsidP="000D406A">
            <w:pPr>
              <w:pStyle w:val="TableBlock"/>
              <w:numPr>
                <w:ilvl w:val="0"/>
                <w:numId w:val="19"/>
              </w:numPr>
              <w:tabs>
                <w:tab w:val="left" w:pos="624"/>
              </w:tabs>
              <w:rPr>
                <w:sz w:val="26"/>
                <w:rtl/>
              </w:rPr>
            </w:pPr>
            <w:r w:rsidRPr="000D406A">
              <w:rPr>
                <w:rFonts w:hint="cs"/>
                <w:sz w:val="26"/>
                <w:rtl/>
              </w:rPr>
              <w:t>בסעיף 17(ב)(1), במקום "גם לגבי עצמאית שהיא אם לילד אחד או יותר" יבוא "גם לגבי עצמאי שהוא הורה לילד אחד או יותר"</w:t>
            </w:r>
            <w:r w:rsidR="00A305D8" w:rsidRPr="000D406A">
              <w:rPr>
                <w:rFonts w:hint="cs"/>
                <w:sz w:val="26"/>
                <w:rtl/>
              </w:rPr>
              <w:t>.</w:t>
            </w:r>
          </w:p>
        </w:tc>
      </w:tr>
    </w:tbl>
    <w:p w:rsidR="002C60B9" w:rsidRPr="000D406A" w:rsidRDefault="002C60B9" w:rsidP="000D406A">
      <w:pPr>
        <w:pStyle w:val="HeadMitparsemetBaze"/>
        <w:keepNext w:val="0"/>
        <w:keepLines w:val="0"/>
        <w:pageBreakBefore w:val="0"/>
        <w:rPr>
          <w:strike/>
          <w:sz w:val="26"/>
          <w:rtl/>
        </w:rPr>
      </w:pPr>
    </w:p>
    <w:p w:rsidR="002C60B9" w:rsidRPr="000D406A" w:rsidRDefault="002C60B9" w:rsidP="000D406A">
      <w:pPr>
        <w:pStyle w:val="HeadMitparsemetBaze"/>
        <w:keepNext w:val="0"/>
        <w:keepLines w:val="0"/>
        <w:pageBreakBefore w:val="0"/>
        <w:rPr>
          <w:strike/>
          <w:sz w:val="26"/>
          <w:rtl/>
        </w:rPr>
      </w:pPr>
    </w:p>
    <w:p w:rsidR="002C60B9" w:rsidRPr="000D406A" w:rsidRDefault="002C60B9" w:rsidP="000D406A">
      <w:pPr>
        <w:pStyle w:val="HeadMitparsemetBaze"/>
        <w:keepNext w:val="0"/>
        <w:keepLines w:val="0"/>
        <w:pageBreakBefore w:val="0"/>
        <w:rPr>
          <w:strike/>
          <w:sz w:val="26"/>
          <w:rtl/>
        </w:rPr>
      </w:pPr>
    </w:p>
    <w:p w:rsidR="002C60B9" w:rsidRPr="000D406A" w:rsidRDefault="002C60B9" w:rsidP="000D406A">
      <w:pPr>
        <w:pStyle w:val="HeadMitparsemetBaze"/>
        <w:keepNext w:val="0"/>
        <w:keepLines w:val="0"/>
        <w:pageBreakBefore w:val="0"/>
        <w:rPr>
          <w:strike/>
          <w:sz w:val="26"/>
          <w:rtl/>
        </w:rPr>
      </w:pPr>
    </w:p>
    <w:p w:rsidR="008B56A1" w:rsidRPr="000D406A" w:rsidRDefault="008B56A1" w:rsidP="000D406A">
      <w:pPr>
        <w:pStyle w:val="Hesber"/>
        <w:ind w:left="360" w:firstLine="0"/>
        <w:rPr>
          <w:sz w:val="26"/>
          <w:rtl/>
        </w:rPr>
      </w:pPr>
    </w:p>
    <w:sectPr w:rsidR="008B56A1" w:rsidRPr="000D406A" w:rsidSect="008B56A1">
      <w:footerReference w:type="even" r:id="rId11"/>
      <w:footerReference w:type="default" r:id="rId12"/>
      <w:pgSz w:w="11907" w:h="16840" w:code="9"/>
      <w:pgMar w:top="963" w:right="1134" w:bottom="1134" w:left="1134" w:header="568"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77" w:rsidRDefault="00584A77">
      <w:r>
        <w:separator/>
      </w:r>
    </w:p>
  </w:endnote>
  <w:endnote w:type="continuationSeparator" w:id="0">
    <w:p w:rsidR="00584A77" w:rsidRDefault="0058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HadasaMFO">
    <w:altName w:val="Courier New"/>
    <w:charset w:val="B1"/>
    <w:family w:val="auto"/>
    <w:pitch w:val="variable"/>
    <w:sig w:usb0="00000800" w:usb1="40000000" w:usb2="00000000" w:usb3="00000000" w:csb0="0000002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D6" w:rsidRDefault="00C02ED6" w:rsidP="0052099B">
    <w:pPr>
      <w:pStyle w:val="a9"/>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C02ED6" w:rsidRDefault="00C02E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D6" w:rsidRPr="008B56A1" w:rsidRDefault="00C02ED6" w:rsidP="0052099B">
    <w:pPr>
      <w:pStyle w:val="a9"/>
      <w:framePr w:wrap="around" w:vAnchor="text" w:hAnchor="text" w:xAlign="center" w:y="1"/>
      <w:rPr>
        <w:rStyle w:val="aa"/>
        <w:rFonts w:cs="David"/>
        <w:sz w:val="26"/>
        <w:szCs w:val="26"/>
      </w:rPr>
    </w:pPr>
    <w:r w:rsidRPr="008B56A1">
      <w:rPr>
        <w:rStyle w:val="aa"/>
        <w:rFonts w:cs="David"/>
        <w:sz w:val="26"/>
        <w:szCs w:val="26"/>
        <w:rtl/>
      </w:rPr>
      <w:fldChar w:fldCharType="begin"/>
    </w:r>
    <w:r w:rsidRPr="008B56A1">
      <w:rPr>
        <w:rStyle w:val="aa"/>
        <w:rFonts w:cs="David"/>
        <w:sz w:val="26"/>
        <w:szCs w:val="26"/>
      </w:rPr>
      <w:instrText xml:space="preserve">PAGE  </w:instrText>
    </w:r>
    <w:r w:rsidRPr="008B56A1">
      <w:rPr>
        <w:rStyle w:val="aa"/>
        <w:rFonts w:cs="David"/>
        <w:sz w:val="26"/>
        <w:szCs w:val="26"/>
        <w:rtl/>
      </w:rPr>
      <w:fldChar w:fldCharType="separate"/>
    </w:r>
    <w:r w:rsidR="00B45462">
      <w:rPr>
        <w:rStyle w:val="aa"/>
        <w:rFonts w:cs="David"/>
        <w:noProof/>
        <w:sz w:val="26"/>
        <w:szCs w:val="26"/>
        <w:rtl/>
      </w:rPr>
      <w:t>1</w:t>
    </w:r>
    <w:r w:rsidRPr="008B56A1">
      <w:rPr>
        <w:rStyle w:val="aa"/>
        <w:rFonts w:cs="David"/>
        <w:sz w:val="26"/>
        <w:szCs w:val="26"/>
        <w:rtl/>
      </w:rPr>
      <w:fldChar w:fldCharType="end"/>
    </w:r>
  </w:p>
  <w:p w:rsidR="00C02ED6" w:rsidRDefault="00C02ED6" w:rsidP="008B56A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77" w:rsidRDefault="00584A77">
      <w:pPr>
        <w:ind w:firstLine="0"/>
      </w:pPr>
      <w:r>
        <w:separator/>
      </w:r>
    </w:p>
  </w:footnote>
  <w:footnote w:type="continuationSeparator" w:id="0">
    <w:p w:rsidR="00584A77" w:rsidRDefault="00584A77">
      <w:r>
        <w:continuationSeparator/>
      </w:r>
    </w:p>
  </w:footnote>
  <w:footnote w:type="continuationNotice" w:id="1">
    <w:p w:rsidR="00584A77" w:rsidRDefault="00584A77"/>
  </w:footnote>
  <w:footnote w:id="2">
    <w:p w:rsidR="00392456" w:rsidRDefault="00392456">
      <w:pPr>
        <w:pStyle w:val="a4"/>
        <w:rPr>
          <w:rtl/>
        </w:rPr>
      </w:pPr>
      <w:r>
        <w:rPr>
          <w:rStyle w:val="a6"/>
        </w:rPr>
        <w:footnoteRef/>
      </w:r>
      <w:r>
        <w:rPr>
          <w:rtl/>
        </w:rPr>
        <w:t xml:space="preserve"> </w:t>
      </w:r>
      <w:r>
        <w:rPr>
          <w:rFonts w:hint="cs"/>
          <w:rtl/>
        </w:rPr>
        <w:t>ס"ח התשע"ז, עמ' 954</w:t>
      </w:r>
      <w:r w:rsidR="000D406A">
        <w:rPr>
          <w:rFonts w:hint="cs"/>
          <w:rtl/>
        </w:rPr>
        <w:t>.</w:t>
      </w:r>
    </w:p>
  </w:footnote>
  <w:footnote w:id="3">
    <w:p w:rsidR="00453B09" w:rsidRDefault="00453B09" w:rsidP="00453B09">
      <w:pPr>
        <w:pStyle w:val="a4"/>
      </w:pPr>
      <w:r>
        <w:rPr>
          <w:rStyle w:val="a6"/>
        </w:rPr>
        <w:footnoteRef/>
      </w:r>
      <w:r>
        <w:rPr>
          <w:rtl/>
        </w:rPr>
        <w:t xml:space="preserve"> </w:t>
      </w:r>
      <w:r>
        <w:rPr>
          <w:rFonts w:hint="cs"/>
          <w:rtl/>
        </w:rPr>
        <w:t>ס"ח התשע"ג, עמ' 140;  התשע"ו, עמ' 243</w:t>
      </w:r>
      <w:r w:rsidR="000D406A">
        <w:rPr>
          <w:rFonts w:hint="cs"/>
          <w:rtl/>
        </w:rPr>
        <w:t>.</w:t>
      </w:r>
    </w:p>
  </w:footnote>
  <w:footnote w:id="4">
    <w:p w:rsidR="001C190E" w:rsidRDefault="001C190E">
      <w:pPr>
        <w:pStyle w:val="a4"/>
        <w:rPr>
          <w:rtl/>
        </w:rPr>
      </w:pPr>
      <w:r>
        <w:rPr>
          <w:rStyle w:val="a6"/>
        </w:rPr>
        <w:footnoteRef/>
      </w:r>
      <w:r>
        <w:rPr>
          <w:rtl/>
        </w:rPr>
        <w:t xml:space="preserve"> </w:t>
      </w:r>
      <w:r>
        <w:rPr>
          <w:rFonts w:hint="cs"/>
          <w:rtl/>
        </w:rPr>
        <w:t>ס"ח התשס"ח, עמ' 502; התשע"א, עמ' 949.</w:t>
      </w:r>
    </w:p>
  </w:footnote>
  <w:footnote w:id="5">
    <w:p w:rsidR="008753DB" w:rsidRDefault="008753DB">
      <w:pPr>
        <w:pStyle w:val="a4"/>
        <w:rPr>
          <w:rtl/>
        </w:rPr>
      </w:pPr>
      <w:r>
        <w:rPr>
          <w:rStyle w:val="a6"/>
        </w:rPr>
        <w:footnoteRef/>
      </w:r>
      <w:r>
        <w:rPr>
          <w:rtl/>
        </w:rPr>
        <w:t xml:space="preserve"> דיני מדינת ישראל, נוסח חדש 6 ,עמ' 120</w:t>
      </w:r>
      <w:r w:rsidR="00833FE6">
        <w:rPr>
          <w:rFonts w:hint="cs"/>
          <w:rtl/>
        </w:rPr>
        <w:t>.</w:t>
      </w:r>
    </w:p>
  </w:footnote>
  <w:footnote w:id="6">
    <w:p w:rsidR="00192799" w:rsidRDefault="00192799" w:rsidP="00192799">
      <w:pPr>
        <w:pStyle w:val="a4"/>
      </w:pPr>
      <w:r>
        <w:rPr>
          <w:rStyle w:val="a6"/>
        </w:rPr>
        <w:footnoteRef/>
      </w:r>
      <w:r>
        <w:rPr>
          <w:rtl/>
        </w:rPr>
        <w:t xml:space="preserve"> ס"ח התשכ"ג, עמ' 163 ;התשע"ו, עמ' 1248</w:t>
      </w:r>
      <w:r>
        <w:t>.</w:t>
      </w:r>
    </w:p>
  </w:footnote>
  <w:footnote w:id="7">
    <w:p w:rsidR="00B47C24" w:rsidRDefault="00B47C24">
      <w:pPr>
        <w:pStyle w:val="a4"/>
        <w:rPr>
          <w:rtl/>
        </w:rPr>
      </w:pPr>
      <w:r>
        <w:rPr>
          <w:rStyle w:val="a6"/>
        </w:rPr>
        <w:footnoteRef/>
      </w:r>
      <w:r>
        <w:rPr>
          <w:rtl/>
        </w:rPr>
        <w:t xml:space="preserve"> </w:t>
      </w:r>
      <w:r w:rsidR="008F5F8E">
        <w:rPr>
          <w:rFonts w:hint="cs"/>
          <w:rtl/>
        </w:rPr>
        <w:t>ס"ח התשס"ח, עמ' 84</w:t>
      </w:r>
      <w:r w:rsidR="00833FE6">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E8E"/>
    <w:multiLevelType w:val="hybridMultilevel"/>
    <w:tmpl w:val="6AE67AE4"/>
    <w:lvl w:ilvl="0" w:tplc="A246D52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31BB"/>
    <w:multiLevelType w:val="hybridMultilevel"/>
    <w:tmpl w:val="0D68A4B6"/>
    <w:lvl w:ilvl="0" w:tplc="981277D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97B34"/>
    <w:multiLevelType w:val="hybridMultilevel"/>
    <w:tmpl w:val="7CE01780"/>
    <w:lvl w:ilvl="0" w:tplc="440C14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3132"/>
    <w:multiLevelType w:val="hybridMultilevel"/>
    <w:tmpl w:val="7226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01522"/>
    <w:multiLevelType w:val="hybridMultilevel"/>
    <w:tmpl w:val="FF5638C2"/>
    <w:lvl w:ilvl="0" w:tplc="61BA7A9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01134"/>
    <w:multiLevelType w:val="hybridMultilevel"/>
    <w:tmpl w:val="B5DE94A8"/>
    <w:lvl w:ilvl="0" w:tplc="21922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4D064D"/>
    <w:multiLevelType w:val="hybridMultilevel"/>
    <w:tmpl w:val="AA564706"/>
    <w:lvl w:ilvl="0" w:tplc="EAB22B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9059E"/>
    <w:multiLevelType w:val="hybridMultilevel"/>
    <w:tmpl w:val="3B86D7EE"/>
    <w:lvl w:ilvl="0" w:tplc="2864F59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67F9C"/>
    <w:multiLevelType w:val="hybridMultilevel"/>
    <w:tmpl w:val="D248AB46"/>
    <w:lvl w:ilvl="0" w:tplc="EC90FB6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E6FF5"/>
    <w:multiLevelType w:val="hybridMultilevel"/>
    <w:tmpl w:val="8E6077FA"/>
    <w:lvl w:ilvl="0" w:tplc="FEB890E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0910"/>
    <w:multiLevelType w:val="hybridMultilevel"/>
    <w:tmpl w:val="AE9060B2"/>
    <w:lvl w:ilvl="0" w:tplc="46B605C8">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4AB4"/>
    <w:multiLevelType w:val="hybridMultilevel"/>
    <w:tmpl w:val="48E2625A"/>
    <w:lvl w:ilvl="0" w:tplc="686430A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F7F94"/>
    <w:multiLevelType w:val="hybridMultilevel"/>
    <w:tmpl w:val="2368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C02FC"/>
    <w:multiLevelType w:val="hybridMultilevel"/>
    <w:tmpl w:val="62746D66"/>
    <w:lvl w:ilvl="0" w:tplc="47FC245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C746E"/>
    <w:multiLevelType w:val="hybridMultilevel"/>
    <w:tmpl w:val="FF226DA0"/>
    <w:lvl w:ilvl="0" w:tplc="6A4070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36282"/>
    <w:multiLevelType w:val="hybridMultilevel"/>
    <w:tmpl w:val="C4462320"/>
    <w:lvl w:ilvl="0" w:tplc="B8AC154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12052"/>
    <w:multiLevelType w:val="hybridMultilevel"/>
    <w:tmpl w:val="50A41B3E"/>
    <w:lvl w:ilvl="0" w:tplc="079EAF88">
      <w:start w:val="1"/>
      <w:numFmt w:val="hebrew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8F27FEF"/>
    <w:multiLevelType w:val="hybridMultilevel"/>
    <w:tmpl w:val="A2A05BAC"/>
    <w:lvl w:ilvl="0" w:tplc="6F20ACD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65DAE"/>
    <w:multiLevelType w:val="hybridMultilevel"/>
    <w:tmpl w:val="72BAAF76"/>
    <w:lvl w:ilvl="0" w:tplc="94DE98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D5CA3"/>
    <w:multiLevelType w:val="hybridMultilevel"/>
    <w:tmpl w:val="322ADDEE"/>
    <w:lvl w:ilvl="0" w:tplc="AF0AC1D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504E0"/>
    <w:multiLevelType w:val="hybridMultilevel"/>
    <w:tmpl w:val="4496B3F6"/>
    <w:lvl w:ilvl="0" w:tplc="8280F54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D43B5"/>
    <w:multiLevelType w:val="hybridMultilevel"/>
    <w:tmpl w:val="7C566F8C"/>
    <w:lvl w:ilvl="0" w:tplc="97AE757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B7B67"/>
    <w:multiLevelType w:val="hybridMultilevel"/>
    <w:tmpl w:val="C76AD07E"/>
    <w:lvl w:ilvl="0" w:tplc="E576A6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868AE"/>
    <w:multiLevelType w:val="hybridMultilevel"/>
    <w:tmpl w:val="35EAB154"/>
    <w:lvl w:ilvl="0" w:tplc="3AC050D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1D22AD"/>
    <w:multiLevelType w:val="hybridMultilevel"/>
    <w:tmpl w:val="093CB52E"/>
    <w:lvl w:ilvl="0" w:tplc="3C2CCA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65162"/>
    <w:multiLevelType w:val="hybridMultilevel"/>
    <w:tmpl w:val="DD5A69DA"/>
    <w:lvl w:ilvl="0" w:tplc="EBF6FA2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93602"/>
    <w:multiLevelType w:val="hybridMultilevel"/>
    <w:tmpl w:val="37401D08"/>
    <w:lvl w:ilvl="0" w:tplc="3AC646F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B7885"/>
    <w:multiLevelType w:val="hybridMultilevel"/>
    <w:tmpl w:val="AFA49C16"/>
    <w:lvl w:ilvl="0" w:tplc="6DA60D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356E5"/>
    <w:multiLevelType w:val="hybridMultilevel"/>
    <w:tmpl w:val="9B0219BC"/>
    <w:lvl w:ilvl="0" w:tplc="77BCFA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A18E2"/>
    <w:multiLevelType w:val="hybridMultilevel"/>
    <w:tmpl w:val="99ACCD94"/>
    <w:lvl w:ilvl="0" w:tplc="2B1C3B3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A1693"/>
    <w:multiLevelType w:val="hybridMultilevel"/>
    <w:tmpl w:val="A17EC73A"/>
    <w:lvl w:ilvl="0" w:tplc="692AF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8D72F8"/>
    <w:multiLevelType w:val="hybridMultilevel"/>
    <w:tmpl w:val="C8169EF2"/>
    <w:lvl w:ilvl="0" w:tplc="F60EFED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52CD9"/>
    <w:multiLevelType w:val="hybridMultilevel"/>
    <w:tmpl w:val="8A0C8366"/>
    <w:lvl w:ilvl="0" w:tplc="98BE4A6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51F6B"/>
    <w:multiLevelType w:val="hybridMultilevel"/>
    <w:tmpl w:val="29C84B14"/>
    <w:lvl w:ilvl="0" w:tplc="EAF0764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E3A7B"/>
    <w:multiLevelType w:val="hybridMultilevel"/>
    <w:tmpl w:val="97C61C1E"/>
    <w:lvl w:ilvl="0" w:tplc="9F38B5E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360B9"/>
    <w:multiLevelType w:val="hybridMultilevel"/>
    <w:tmpl w:val="B7FE15CC"/>
    <w:lvl w:ilvl="0" w:tplc="EE98BD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734D3"/>
    <w:multiLevelType w:val="hybridMultilevel"/>
    <w:tmpl w:val="653E5186"/>
    <w:lvl w:ilvl="0" w:tplc="56EE7CE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85129"/>
    <w:multiLevelType w:val="hybridMultilevel"/>
    <w:tmpl w:val="8DB8756A"/>
    <w:lvl w:ilvl="0" w:tplc="52DC55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F4F81"/>
    <w:multiLevelType w:val="hybridMultilevel"/>
    <w:tmpl w:val="84623B62"/>
    <w:lvl w:ilvl="0" w:tplc="7F90552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980167"/>
    <w:multiLevelType w:val="hybridMultilevel"/>
    <w:tmpl w:val="0F4ADFC4"/>
    <w:lvl w:ilvl="0" w:tplc="963E4BC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A690C"/>
    <w:multiLevelType w:val="hybridMultilevel"/>
    <w:tmpl w:val="A1B4DEE0"/>
    <w:lvl w:ilvl="0" w:tplc="EEC461DE">
      <w:start w:val="1"/>
      <w:numFmt w:val="decimal"/>
      <w:lvlRestart w:val="0"/>
      <w:lvlText w:val="(%1)"/>
      <w:lvlJc w:val="left"/>
      <w:pPr>
        <w:tabs>
          <w:tab w:val="num" w:pos="624"/>
        </w:tabs>
        <w:ind w:left="0" w:firstLine="0"/>
      </w:pPr>
    </w:lvl>
    <w:lvl w:ilvl="1" w:tplc="BA7E21AA">
      <w:start w:val="2"/>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14409"/>
    <w:multiLevelType w:val="hybridMultilevel"/>
    <w:tmpl w:val="94BA2334"/>
    <w:lvl w:ilvl="0" w:tplc="E5BE3F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6"/>
  </w:num>
  <w:num w:numId="3">
    <w:abstractNumId w:val="11"/>
  </w:num>
  <w:num w:numId="4">
    <w:abstractNumId w:val="31"/>
  </w:num>
  <w:num w:numId="5">
    <w:abstractNumId w:val="6"/>
  </w:num>
  <w:num w:numId="6">
    <w:abstractNumId w:val="4"/>
  </w:num>
  <w:num w:numId="7">
    <w:abstractNumId w:val="12"/>
  </w:num>
  <w:num w:numId="8">
    <w:abstractNumId w:val="30"/>
  </w:num>
  <w:num w:numId="9">
    <w:abstractNumId w:val="3"/>
  </w:num>
  <w:num w:numId="10">
    <w:abstractNumId w:val="5"/>
  </w:num>
  <w:num w:numId="11">
    <w:abstractNumId w:val="10"/>
  </w:num>
  <w:num w:numId="12">
    <w:abstractNumId w:val="22"/>
  </w:num>
  <w:num w:numId="13">
    <w:abstractNumId w:val="34"/>
  </w:num>
  <w:num w:numId="14">
    <w:abstractNumId w:val="33"/>
  </w:num>
  <w:num w:numId="15">
    <w:abstractNumId w:val="18"/>
  </w:num>
  <w:num w:numId="16">
    <w:abstractNumId w:val="27"/>
  </w:num>
  <w:num w:numId="17">
    <w:abstractNumId w:val="38"/>
  </w:num>
  <w:num w:numId="18">
    <w:abstractNumId w:val="23"/>
  </w:num>
  <w:num w:numId="19">
    <w:abstractNumId w:val="40"/>
  </w:num>
  <w:num w:numId="20">
    <w:abstractNumId w:val="36"/>
  </w:num>
  <w:num w:numId="21">
    <w:abstractNumId w:val="13"/>
  </w:num>
  <w:num w:numId="22">
    <w:abstractNumId w:val="35"/>
  </w:num>
  <w:num w:numId="23">
    <w:abstractNumId w:val="9"/>
  </w:num>
  <w:num w:numId="24">
    <w:abstractNumId w:val="15"/>
  </w:num>
  <w:num w:numId="25">
    <w:abstractNumId w:val="39"/>
  </w:num>
  <w:num w:numId="26">
    <w:abstractNumId w:val="28"/>
  </w:num>
  <w:num w:numId="27">
    <w:abstractNumId w:val="14"/>
  </w:num>
  <w:num w:numId="28">
    <w:abstractNumId w:val="19"/>
  </w:num>
  <w:num w:numId="29">
    <w:abstractNumId w:val="29"/>
  </w:num>
  <w:num w:numId="30">
    <w:abstractNumId w:val="20"/>
  </w:num>
  <w:num w:numId="31">
    <w:abstractNumId w:val="1"/>
  </w:num>
  <w:num w:numId="32">
    <w:abstractNumId w:val="17"/>
  </w:num>
  <w:num w:numId="33">
    <w:abstractNumId w:val="8"/>
  </w:num>
  <w:num w:numId="34">
    <w:abstractNumId w:val="7"/>
  </w:num>
  <w:num w:numId="35">
    <w:abstractNumId w:val="26"/>
  </w:num>
  <w:num w:numId="36">
    <w:abstractNumId w:val="21"/>
  </w:num>
  <w:num w:numId="37">
    <w:abstractNumId w:val="25"/>
  </w:num>
  <w:num w:numId="38">
    <w:abstractNumId w:val="32"/>
  </w:num>
  <w:num w:numId="39">
    <w:abstractNumId w:val="0"/>
  </w:num>
  <w:num w:numId="40">
    <w:abstractNumId w:val="37"/>
  </w:num>
  <w:num w:numId="41">
    <w:abstractNumId w:val="2"/>
  </w:num>
  <w:num w:numId="42">
    <w:abstractNumId w:val="24"/>
  </w:num>
  <w:num w:numId="43">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DF"/>
    <w:rsid w:val="00000365"/>
    <w:rsid w:val="00001778"/>
    <w:rsid w:val="00011BA0"/>
    <w:rsid w:val="00011C4D"/>
    <w:rsid w:val="00012350"/>
    <w:rsid w:val="00012F37"/>
    <w:rsid w:val="000238A4"/>
    <w:rsid w:val="000321AF"/>
    <w:rsid w:val="0003252C"/>
    <w:rsid w:val="00034EBA"/>
    <w:rsid w:val="00035100"/>
    <w:rsid w:val="00035EB0"/>
    <w:rsid w:val="00041542"/>
    <w:rsid w:val="00041CDA"/>
    <w:rsid w:val="0004353C"/>
    <w:rsid w:val="00043CE4"/>
    <w:rsid w:val="00051CD8"/>
    <w:rsid w:val="000533E9"/>
    <w:rsid w:val="000567EA"/>
    <w:rsid w:val="0006298A"/>
    <w:rsid w:val="00064652"/>
    <w:rsid w:val="00064C23"/>
    <w:rsid w:val="00072186"/>
    <w:rsid w:val="00075182"/>
    <w:rsid w:val="000768A9"/>
    <w:rsid w:val="00077E1E"/>
    <w:rsid w:val="000802DC"/>
    <w:rsid w:val="00080B43"/>
    <w:rsid w:val="00080F3B"/>
    <w:rsid w:val="00084A3D"/>
    <w:rsid w:val="00085F04"/>
    <w:rsid w:val="00087C10"/>
    <w:rsid w:val="00090C08"/>
    <w:rsid w:val="000953D9"/>
    <w:rsid w:val="000A1632"/>
    <w:rsid w:val="000A33F0"/>
    <w:rsid w:val="000A5DC1"/>
    <w:rsid w:val="000A7CCD"/>
    <w:rsid w:val="000A7E37"/>
    <w:rsid w:val="000B43FB"/>
    <w:rsid w:val="000B4505"/>
    <w:rsid w:val="000C1EE3"/>
    <w:rsid w:val="000C4DEA"/>
    <w:rsid w:val="000C7F0A"/>
    <w:rsid w:val="000D15D2"/>
    <w:rsid w:val="000D3CAA"/>
    <w:rsid w:val="000D406A"/>
    <w:rsid w:val="000D54E5"/>
    <w:rsid w:val="000D5CCF"/>
    <w:rsid w:val="000E07B2"/>
    <w:rsid w:val="000E2AF8"/>
    <w:rsid w:val="000E42C6"/>
    <w:rsid w:val="000E50C9"/>
    <w:rsid w:val="000F1BFE"/>
    <w:rsid w:val="000F7970"/>
    <w:rsid w:val="00100529"/>
    <w:rsid w:val="001028EC"/>
    <w:rsid w:val="00103468"/>
    <w:rsid w:val="00106C05"/>
    <w:rsid w:val="0010749C"/>
    <w:rsid w:val="00113652"/>
    <w:rsid w:val="001137EE"/>
    <w:rsid w:val="001201BB"/>
    <w:rsid w:val="0013094E"/>
    <w:rsid w:val="0013416B"/>
    <w:rsid w:val="00137CF2"/>
    <w:rsid w:val="00142D93"/>
    <w:rsid w:val="00144534"/>
    <w:rsid w:val="00146A5F"/>
    <w:rsid w:val="00147CAE"/>
    <w:rsid w:val="00156098"/>
    <w:rsid w:val="00157888"/>
    <w:rsid w:val="00160C76"/>
    <w:rsid w:val="00161837"/>
    <w:rsid w:val="00162369"/>
    <w:rsid w:val="00162B97"/>
    <w:rsid w:val="0016527F"/>
    <w:rsid w:val="00165396"/>
    <w:rsid w:val="001668D5"/>
    <w:rsid w:val="00172750"/>
    <w:rsid w:val="00173C33"/>
    <w:rsid w:val="001753B1"/>
    <w:rsid w:val="0018469B"/>
    <w:rsid w:val="00187F06"/>
    <w:rsid w:val="00192799"/>
    <w:rsid w:val="00193128"/>
    <w:rsid w:val="00193DFE"/>
    <w:rsid w:val="00193EE1"/>
    <w:rsid w:val="00194F6C"/>
    <w:rsid w:val="001954D9"/>
    <w:rsid w:val="001A78F2"/>
    <w:rsid w:val="001B10A8"/>
    <w:rsid w:val="001B1478"/>
    <w:rsid w:val="001B2D8C"/>
    <w:rsid w:val="001B320D"/>
    <w:rsid w:val="001B7CE6"/>
    <w:rsid w:val="001C190E"/>
    <w:rsid w:val="001C2924"/>
    <w:rsid w:val="001D20E2"/>
    <w:rsid w:val="001D2142"/>
    <w:rsid w:val="001D4932"/>
    <w:rsid w:val="001D7024"/>
    <w:rsid w:val="001D70F3"/>
    <w:rsid w:val="001E4AE9"/>
    <w:rsid w:val="001E73F2"/>
    <w:rsid w:val="001E7C1D"/>
    <w:rsid w:val="001F49AD"/>
    <w:rsid w:val="001F4CCE"/>
    <w:rsid w:val="00200906"/>
    <w:rsid w:val="00206D52"/>
    <w:rsid w:val="00211D01"/>
    <w:rsid w:val="00212356"/>
    <w:rsid w:val="00225234"/>
    <w:rsid w:val="002267C1"/>
    <w:rsid w:val="00227087"/>
    <w:rsid w:val="00231E64"/>
    <w:rsid w:val="002345C9"/>
    <w:rsid w:val="00240420"/>
    <w:rsid w:val="00242732"/>
    <w:rsid w:val="002431A3"/>
    <w:rsid w:val="00256C6A"/>
    <w:rsid w:val="00261F84"/>
    <w:rsid w:val="00272D09"/>
    <w:rsid w:val="00275392"/>
    <w:rsid w:val="002778ED"/>
    <w:rsid w:val="00282F4E"/>
    <w:rsid w:val="00285008"/>
    <w:rsid w:val="00292516"/>
    <w:rsid w:val="0029508F"/>
    <w:rsid w:val="002979B0"/>
    <w:rsid w:val="002A0A16"/>
    <w:rsid w:val="002B01F3"/>
    <w:rsid w:val="002B43E6"/>
    <w:rsid w:val="002C18C4"/>
    <w:rsid w:val="002C217E"/>
    <w:rsid w:val="002C2C6D"/>
    <w:rsid w:val="002C3FE6"/>
    <w:rsid w:val="002C60B9"/>
    <w:rsid w:val="002C7825"/>
    <w:rsid w:val="002D1C18"/>
    <w:rsid w:val="002D33E2"/>
    <w:rsid w:val="002D445F"/>
    <w:rsid w:val="002D57F2"/>
    <w:rsid w:val="002E1C6F"/>
    <w:rsid w:val="002E25E5"/>
    <w:rsid w:val="002E32F0"/>
    <w:rsid w:val="002E64BB"/>
    <w:rsid w:val="002E7140"/>
    <w:rsid w:val="002F0F52"/>
    <w:rsid w:val="002F2B21"/>
    <w:rsid w:val="00300B11"/>
    <w:rsid w:val="003063DF"/>
    <w:rsid w:val="0030799F"/>
    <w:rsid w:val="00310FB5"/>
    <w:rsid w:val="00311ACE"/>
    <w:rsid w:val="00313568"/>
    <w:rsid w:val="0031416A"/>
    <w:rsid w:val="00314754"/>
    <w:rsid w:val="00322336"/>
    <w:rsid w:val="003261F3"/>
    <w:rsid w:val="00327A71"/>
    <w:rsid w:val="00334626"/>
    <w:rsid w:val="003402C6"/>
    <w:rsid w:val="00341E55"/>
    <w:rsid w:val="00346EBA"/>
    <w:rsid w:val="003521F0"/>
    <w:rsid w:val="00352732"/>
    <w:rsid w:val="00352C2C"/>
    <w:rsid w:val="003628AE"/>
    <w:rsid w:val="00371375"/>
    <w:rsid w:val="00372B59"/>
    <w:rsid w:val="00373500"/>
    <w:rsid w:val="00373BD5"/>
    <w:rsid w:val="003742CF"/>
    <w:rsid w:val="00374C5B"/>
    <w:rsid w:val="00374DDA"/>
    <w:rsid w:val="003769F5"/>
    <w:rsid w:val="003870C8"/>
    <w:rsid w:val="0039143F"/>
    <w:rsid w:val="00391B09"/>
    <w:rsid w:val="00392456"/>
    <w:rsid w:val="0039428C"/>
    <w:rsid w:val="00394C90"/>
    <w:rsid w:val="00395D16"/>
    <w:rsid w:val="00396AB0"/>
    <w:rsid w:val="00396EDF"/>
    <w:rsid w:val="003975D0"/>
    <w:rsid w:val="003A110A"/>
    <w:rsid w:val="003A2961"/>
    <w:rsid w:val="003A663D"/>
    <w:rsid w:val="003A7ED9"/>
    <w:rsid w:val="003B3B54"/>
    <w:rsid w:val="003B4264"/>
    <w:rsid w:val="003B784A"/>
    <w:rsid w:val="003B7C71"/>
    <w:rsid w:val="003C64D8"/>
    <w:rsid w:val="003C6FAF"/>
    <w:rsid w:val="003D020D"/>
    <w:rsid w:val="003D2471"/>
    <w:rsid w:val="003D3C04"/>
    <w:rsid w:val="003D3F24"/>
    <w:rsid w:val="003D49CD"/>
    <w:rsid w:val="003D50B9"/>
    <w:rsid w:val="003D559C"/>
    <w:rsid w:val="003E640F"/>
    <w:rsid w:val="003F6007"/>
    <w:rsid w:val="004002F1"/>
    <w:rsid w:val="00404BB7"/>
    <w:rsid w:val="00405185"/>
    <w:rsid w:val="00405665"/>
    <w:rsid w:val="00405752"/>
    <w:rsid w:val="00410681"/>
    <w:rsid w:val="004112D5"/>
    <w:rsid w:val="00413FA3"/>
    <w:rsid w:val="00416246"/>
    <w:rsid w:val="00416974"/>
    <w:rsid w:val="00421872"/>
    <w:rsid w:val="0042784B"/>
    <w:rsid w:val="004278FF"/>
    <w:rsid w:val="00427E12"/>
    <w:rsid w:val="00430799"/>
    <w:rsid w:val="00434452"/>
    <w:rsid w:val="00434706"/>
    <w:rsid w:val="00435C87"/>
    <w:rsid w:val="004368FD"/>
    <w:rsid w:val="00440A7D"/>
    <w:rsid w:val="00441CBC"/>
    <w:rsid w:val="00444D46"/>
    <w:rsid w:val="004478AF"/>
    <w:rsid w:val="00450775"/>
    <w:rsid w:val="004521C9"/>
    <w:rsid w:val="004525EF"/>
    <w:rsid w:val="00453B09"/>
    <w:rsid w:val="0046008B"/>
    <w:rsid w:val="00460F6D"/>
    <w:rsid w:val="004653F1"/>
    <w:rsid w:val="004666B3"/>
    <w:rsid w:val="00473196"/>
    <w:rsid w:val="00474A1A"/>
    <w:rsid w:val="0049107E"/>
    <w:rsid w:val="004A0BDA"/>
    <w:rsid w:val="004A1477"/>
    <w:rsid w:val="004A4596"/>
    <w:rsid w:val="004A7E1E"/>
    <w:rsid w:val="004A7E41"/>
    <w:rsid w:val="004B0668"/>
    <w:rsid w:val="004B1F98"/>
    <w:rsid w:val="004B2ACC"/>
    <w:rsid w:val="004C6AE5"/>
    <w:rsid w:val="004C73C2"/>
    <w:rsid w:val="004D1CB4"/>
    <w:rsid w:val="004D263B"/>
    <w:rsid w:val="004D6AF2"/>
    <w:rsid w:val="004E1544"/>
    <w:rsid w:val="004E2152"/>
    <w:rsid w:val="004E4258"/>
    <w:rsid w:val="0050052F"/>
    <w:rsid w:val="00501A87"/>
    <w:rsid w:val="00504784"/>
    <w:rsid w:val="00504CCC"/>
    <w:rsid w:val="00511598"/>
    <w:rsid w:val="005123B1"/>
    <w:rsid w:val="00515819"/>
    <w:rsid w:val="0052099B"/>
    <w:rsid w:val="00522248"/>
    <w:rsid w:val="00522664"/>
    <w:rsid w:val="00523C92"/>
    <w:rsid w:val="005275E5"/>
    <w:rsid w:val="00536D6C"/>
    <w:rsid w:val="005404FD"/>
    <w:rsid w:val="005417E6"/>
    <w:rsid w:val="0054774E"/>
    <w:rsid w:val="00550668"/>
    <w:rsid w:val="00556943"/>
    <w:rsid w:val="005625F4"/>
    <w:rsid w:val="00567FB2"/>
    <w:rsid w:val="00570930"/>
    <w:rsid w:val="00571358"/>
    <w:rsid w:val="00572C04"/>
    <w:rsid w:val="00573C50"/>
    <w:rsid w:val="005771C4"/>
    <w:rsid w:val="0058183C"/>
    <w:rsid w:val="00584A77"/>
    <w:rsid w:val="00587070"/>
    <w:rsid w:val="00590BE7"/>
    <w:rsid w:val="00590DC7"/>
    <w:rsid w:val="00593D36"/>
    <w:rsid w:val="005940B9"/>
    <w:rsid w:val="00595151"/>
    <w:rsid w:val="0059604A"/>
    <w:rsid w:val="005B08BB"/>
    <w:rsid w:val="005B263C"/>
    <w:rsid w:val="005B2817"/>
    <w:rsid w:val="005B35F3"/>
    <w:rsid w:val="005B6EF6"/>
    <w:rsid w:val="005C7BC5"/>
    <w:rsid w:val="005D3683"/>
    <w:rsid w:val="005D504C"/>
    <w:rsid w:val="005D51AE"/>
    <w:rsid w:val="005E1623"/>
    <w:rsid w:val="005E2900"/>
    <w:rsid w:val="005E2B24"/>
    <w:rsid w:val="005E7202"/>
    <w:rsid w:val="005F023F"/>
    <w:rsid w:val="005F181C"/>
    <w:rsid w:val="005F63FC"/>
    <w:rsid w:val="00600873"/>
    <w:rsid w:val="0060420F"/>
    <w:rsid w:val="0060685C"/>
    <w:rsid w:val="00607770"/>
    <w:rsid w:val="00607881"/>
    <w:rsid w:val="00611446"/>
    <w:rsid w:val="00611BE7"/>
    <w:rsid w:val="00616560"/>
    <w:rsid w:val="00616D40"/>
    <w:rsid w:val="00621FA2"/>
    <w:rsid w:val="00622152"/>
    <w:rsid w:val="006221E0"/>
    <w:rsid w:val="006236A2"/>
    <w:rsid w:val="0062392D"/>
    <w:rsid w:val="006242A1"/>
    <w:rsid w:val="0062548E"/>
    <w:rsid w:val="00625586"/>
    <w:rsid w:val="00625F6E"/>
    <w:rsid w:val="00626714"/>
    <w:rsid w:val="00626E1B"/>
    <w:rsid w:val="00630267"/>
    <w:rsid w:val="00633E1C"/>
    <w:rsid w:val="006412DD"/>
    <w:rsid w:val="00643333"/>
    <w:rsid w:val="00644940"/>
    <w:rsid w:val="00644D6C"/>
    <w:rsid w:val="006459F0"/>
    <w:rsid w:val="006465BD"/>
    <w:rsid w:val="00650F45"/>
    <w:rsid w:val="0065338F"/>
    <w:rsid w:val="00660C42"/>
    <w:rsid w:val="00661628"/>
    <w:rsid w:val="00662D9D"/>
    <w:rsid w:val="00664854"/>
    <w:rsid w:val="00667A34"/>
    <w:rsid w:val="00674761"/>
    <w:rsid w:val="00675B8A"/>
    <w:rsid w:val="00681A46"/>
    <w:rsid w:val="00681B0B"/>
    <w:rsid w:val="006912EA"/>
    <w:rsid w:val="006916DF"/>
    <w:rsid w:val="00693593"/>
    <w:rsid w:val="00695160"/>
    <w:rsid w:val="006952B8"/>
    <w:rsid w:val="006959EF"/>
    <w:rsid w:val="006979DE"/>
    <w:rsid w:val="006A3DB5"/>
    <w:rsid w:val="006A4A6F"/>
    <w:rsid w:val="006A73E4"/>
    <w:rsid w:val="006A7A58"/>
    <w:rsid w:val="006B05A0"/>
    <w:rsid w:val="006B0A57"/>
    <w:rsid w:val="006B31C5"/>
    <w:rsid w:val="006B6F30"/>
    <w:rsid w:val="006C15BA"/>
    <w:rsid w:val="006C2614"/>
    <w:rsid w:val="006C5C0E"/>
    <w:rsid w:val="006C6B37"/>
    <w:rsid w:val="006C74B3"/>
    <w:rsid w:val="006D2D06"/>
    <w:rsid w:val="006D3D4F"/>
    <w:rsid w:val="006D6B47"/>
    <w:rsid w:val="006E2E9E"/>
    <w:rsid w:val="006E3FFD"/>
    <w:rsid w:val="006E4199"/>
    <w:rsid w:val="006E48C0"/>
    <w:rsid w:val="006E4C1C"/>
    <w:rsid w:val="006F08DE"/>
    <w:rsid w:val="006F5B7D"/>
    <w:rsid w:val="00702F98"/>
    <w:rsid w:val="007053C1"/>
    <w:rsid w:val="00710328"/>
    <w:rsid w:val="00714603"/>
    <w:rsid w:val="0071464A"/>
    <w:rsid w:val="00715424"/>
    <w:rsid w:val="00716701"/>
    <w:rsid w:val="007207D8"/>
    <w:rsid w:val="0072270F"/>
    <w:rsid w:val="00724786"/>
    <w:rsid w:val="00725D36"/>
    <w:rsid w:val="00725DE4"/>
    <w:rsid w:val="00727FFA"/>
    <w:rsid w:val="0073180F"/>
    <w:rsid w:val="007347D8"/>
    <w:rsid w:val="00734A1B"/>
    <w:rsid w:val="00734BE0"/>
    <w:rsid w:val="00737773"/>
    <w:rsid w:val="007408DF"/>
    <w:rsid w:val="00745472"/>
    <w:rsid w:val="00745ABA"/>
    <w:rsid w:val="00753561"/>
    <w:rsid w:val="0075430F"/>
    <w:rsid w:val="0075559E"/>
    <w:rsid w:val="00755935"/>
    <w:rsid w:val="00757835"/>
    <w:rsid w:val="007651DC"/>
    <w:rsid w:val="00765FF2"/>
    <w:rsid w:val="00766065"/>
    <w:rsid w:val="00767788"/>
    <w:rsid w:val="0077246A"/>
    <w:rsid w:val="00773DC7"/>
    <w:rsid w:val="00775AB3"/>
    <w:rsid w:val="00781C4C"/>
    <w:rsid w:val="0078279D"/>
    <w:rsid w:val="00786188"/>
    <w:rsid w:val="00790398"/>
    <w:rsid w:val="007906D4"/>
    <w:rsid w:val="00790B99"/>
    <w:rsid w:val="00791213"/>
    <w:rsid w:val="00791457"/>
    <w:rsid w:val="00792465"/>
    <w:rsid w:val="00793CB7"/>
    <w:rsid w:val="00796161"/>
    <w:rsid w:val="007A216C"/>
    <w:rsid w:val="007A2FB8"/>
    <w:rsid w:val="007A55E4"/>
    <w:rsid w:val="007A5EA1"/>
    <w:rsid w:val="007A7870"/>
    <w:rsid w:val="007B1C96"/>
    <w:rsid w:val="007B4D37"/>
    <w:rsid w:val="007B57F0"/>
    <w:rsid w:val="007B58F1"/>
    <w:rsid w:val="007C0140"/>
    <w:rsid w:val="007C39C5"/>
    <w:rsid w:val="007C492C"/>
    <w:rsid w:val="007E6D4D"/>
    <w:rsid w:val="007F01A1"/>
    <w:rsid w:val="007F048B"/>
    <w:rsid w:val="007F0670"/>
    <w:rsid w:val="007F0C40"/>
    <w:rsid w:val="007F1016"/>
    <w:rsid w:val="00801763"/>
    <w:rsid w:val="00801B43"/>
    <w:rsid w:val="008042F1"/>
    <w:rsid w:val="00804F96"/>
    <w:rsid w:val="008060B0"/>
    <w:rsid w:val="00807C7E"/>
    <w:rsid w:val="00812C98"/>
    <w:rsid w:val="0081535C"/>
    <w:rsid w:val="00816CB3"/>
    <w:rsid w:val="008235CA"/>
    <w:rsid w:val="008236B5"/>
    <w:rsid w:val="00825F33"/>
    <w:rsid w:val="00830F64"/>
    <w:rsid w:val="00833FE6"/>
    <w:rsid w:val="008346FF"/>
    <w:rsid w:val="00837963"/>
    <w:rsid w:val="0084112A"/>
    <w:rsid w:val="00843AD8"/>
    <w:rsid w:val="00846959"/>
    <w:rsid w:val="00847C53"/>
    <w:rsid w:val="00850601"/>
    <w:rsid w:val="00850C8D"/>
    <w:rsid w:val="00852942"/>
    <w:rsid w:val="008674BA"/>
    <w:rsid w:val="008753DB"/>
    <w:rsid w:val="0088045B"/>
    <w:rsid w:val="008815D0"/>
    <w:rsid w:val="008823AB"/>
    <w:rsid w:val="0088621D"/>
    <w:rsid w:val="00887650"/>
    <w:rsid w:val="00892A7D"/>
    <w:rsid w:val="0089436C"/>
    <w:rsid w:val="008944B3"/>
    <w:rsid w:val="00895B21"/>
    <w:rsid w:val="0089716B"/>
    <w:rsid w:val="00897348"/>
    <w:rsid w:val="008A0CF8"/>
    <w:rsid w:val="008A18B2"/>
    <w:rsid w:val="008A3CF2"/>
    <w:rsid w:val="008A49A5"/>
    <w:rsid w:val="008A5615"/>
    <w:rsid w:val="008A69F6"/>
    <w:rsid w:val="008B00A5"/>
    <w:rsid w:val="008B2B37"/>
    <w:rsid w:val="008B56A1"/>
    <w:rsid w:val="008D04C0"/>
    <w:rsid w:val="008D4643"/>
    <w:rsid w:val="008D6478"/>
    <w:rsid w:val="008D6DCE"/>
    <w:rsid w:val="008F127C"/>
    <w:rsid w:val="008F21A4"/>
    <w:rsid w:val="008F5F8E"/>
    <w:rsid w:val="008F730C"/>
    <w:rsid w:val="008F7957"/>
    <w:rsid w:val="00902108"/>
    <w:rsid w:val="00902BAE"/>
    <w:rsid w:val="00904618"/>
    <w:rsid w:val="009061BC"/>
    <w:rsid w:val="00907378"/>
    <w:rsid w:val="00907C5C"/>
    <w:rsid w:val="00910138"/>
    <w:rsid w:val="00912DC2"/>
    <w:rsid w:val="0091561A"/>
    <w:rsid w:val="00923474"/>
    <w:rsid w:val="00923EC4"/>
    <w:rsid w:val="00924DC5"/>
    <w:rsid w:val="0093030A"/>
    <w:rsid w:val="009331C2"/>
    <w:rsid w:val="00933FAA"/>
    <w:rsid w:val="00935450"/>
    <w:rsid w:val="00940162"/>
    <w:rsid w:val="00941376"/>
    <w:rsid w:val="00943EAE"/>
    <w:rsid w:val="0094675C"/>
    <w:rsid w:val="00947C62"/>
    <w:rsid w:val="00950572"/>
    <w:rsid w:val="00952165"/>
    <w:rsid w:val="0095755F"/>
    <w:rsid w:val="009576DD"/>
    <w:rsid w:val="009602EF"/>
    <w:rsid w:val="00961971"/>
    <w:rsid w:val="00962287"/>
    <w:rsid w:val="00966955"/>
    <w:rsid w:val="009673E5"/>
    <w:rsid w:val="00967B5C"/>
    <w:rsid w:val="00967B88"/>
    <w:rsid w:val="00974123"/>
    <w:rsid w:val="00975E3B"/>
    <w:rsid w:val="009776F5"/>
    <w:rsid w:val="00981279"/>
    <w:rsid w:val="009812DE"/>
    <w:rsid w:val="00981D0F"/>
    <w:rsid w:val="00984A4F"/>
    <w:rsid w:val="00986A18"/>
    <w:rsid w:val="00992FE3"/>
    <w:rsid w:val="009963F6"/>
    <w:rsid w:val="009A2B5B"/>
    <w:rsid w:val="009A4EA3"/>
    <w:rsid w:val="009B1AB9"/>
    <w:rsid w:val="009C28D6"/>
    <w:rsid w:val="009C4932"/>
    <w:rsid w:val="009D048D"/>
    <w:rsid w:val="009D261D"/>
    <w:rsid w:val="009D2AA0"/>
    <w:rsid w:val="009D6D82"/>
    <w:rsid w:val="009E22DC"/>
    <w:rsid w:val="009E5062"/>
    <w:rsid w:val="009F0E9D"/>
    <w:rsid w:val="009F1C3B"/>
    <w:rsid w:val="009F2777"/>
    <w:rsid w:val="009F32FE"/>
    <w:rsid w:val="009F3762"/>
    <w:rsid w:val="009F625B"/>
    <w:rsid w:val="00A01AAA"/>
    <w:rsid w:val="00A01B82"/>
    <w:rsid w:val="00A02079"/>
    <w:rsid w:val="00A02550"/>
    <w:rsid w:val="00A068D1"/>
    <w:rsid w:val="00A2056C"/>
    <w:rsid w:val="00A23506"/>
    <w:rsid w:val="00A240D1"/>
    <w:rsid w:val="00A27A7C"/>
    <w:rsid w:val="00A305D8"/>
    <w:rsid w:val="00A32CC2"/>
    <w:rsid w:val="00A3374B"/>
    <w:rsid w:val="00A3377E"/>
    <w:rsid w:val="00A35CB6"/>
    <w:rsid w:val="00A367C1"/>
    <w:rsid w:val="00A42965"/>
    <w:rsid w:val="00A5206E"/>
    <w:rsid w:val="00A56A5C"/>
    <w:rsid w:val="00A573F2"/>
    <w:rsid w:val="00A66C67"/>
    <w:rsid w:val="00A70A95"/>
    <w:rsid w:val="00A777F8"/>
    <w:rsid w:val="00A8154C"/>
    <w:rsid w:val="00A81D7C"/>
    <w:rsid w:val="00A81EA9"/>
    <w:rsid w:val="00A84F74"/>
    <w:rsid w:val="00A86B8D"/>
    <w:rsid w:val="00A87AC7"/>
    <w:rsid w:val="00A90863"/>
    <w:rsid w:val="00A90B31"/>
    <w:rsid w:val="00A90B98"/>
    <w:rsid w:val="00A95466"/>
    <w:rsid w:val="00A963BF"/>
    <w:rsid w:val="00A96CD0"/>
    <w:rsid w:val="00AA004F"/>
    <w:rsid w:val="00AA1CC0"/>
    <w:rsid w:val="00AA56E9"/>
    <w:rsid w:val="00AA5F53"/>
    <w:rsid w:val="00AB1265"/>
    <w:rsid w:val="00AB1FD3"/>
    <w:rsid w:val="00AB5BEA"/>
    <w:rsid w:val="00AB7CF4"/>
    <w:rsid w:val="00AC09CD"/>
    <w:rsid w:val="00AC22C7"/>
    <w:rsid w:val="00AC2567"/>
    <w:rsid w:val="00AC6421"/>
    <w:rsid w:val="00AC6979"/>
    <w:rsid w:val="00AC6B4A"/>
    <w:rsid w:val="00AD138C"/>
    <w:rsid w:val="00AD40D4"/>
    <w:rsid w:val="00AD444B"/>
    <w:rsid w:val="00AD5C6A"/>
    <w:rsid w:val="00AE3CA6"/>
    <w:rsid w:val="00AE40B0"/>
    <w:rsid w:val="00AE7CB3"/>
    <w:rsid w:val="00AF00A1"/>
    <w:rsid w:val="00AF5689"/>
    <w:rsid w:val="00AF6C74"/>
    <w:rsid w:val="00AF7AA2"/>
    <w:rsid w:val="00AF7F5E"/>
    <w:rsid w:val="00B00BDB"/>
    <w:rsid w:val="00B0456D"/>
    <w:rsid w:val="00B0681F"/>
    <w:rsid w:val="00B0783B"/>
    <w:rsid w:val="00B1246F"/>
    <w:rsid w:val="00B20140"/>
    <w:rsid w:val="00B21E39"/>
    <w:rsid w:val="00B2218C"/>
    <w:rsid w:val="00B2392E"/>
    <w:rsid w:val="00B2450E"/>
    <w:rsid w:val="00B24577"/>
    <w:rsid w:val="00B248DA"/>
    <w:rsid w:val="00B30942"/>
    <w:rsid w:val="00B30CAF"/>
    <w:rsid w:val="00B3168F"/>
    <w:rsid w:val="00B33176"/>
    <w:rsid w:val="00B350EA"/>
    <w:rsid w:val="00B35571"/>
    <w:rsid w:val="00B40AE0"/>
    <w:rsid w:val="00B45462"/>
    <w:rsid w:val="00B45CEF"/>
    <w:rsid w:val="00B473BA"/>
    <w:rsid w:val="00B47C24"/>
    <w:rsid w:val="00B503A6"/>
    <w:rsid w:val="00B50517"/>
    <w:rsid w:val="00B5191C"/>
    <w:rsid w:val="00B5220C"/>
    <w:rsid w:val="00B531D0"/>
    <w:rsid w:val="00B64C87"/>
    <w:rsid w:val="00B65AF9"/>
    <w:rsid w:val="00B67ECD"/>
    <w:rsid w:val="00B7157A"/>
    <w:rsid w:val="00B715DA"/>
    <w:rsid w:val="00B72A3F"/>
    <w:rsid w:val="00B76991"/>
    <w:rsid w:val="00B804C7"/>
    <w:rsid w:val="00B84744"/>
    <w:rsid w:val="00B859E4"/>
    <w:rsid w:val="00B85FE5"/>
    <w:rsid w:val="00B92BD6"/>
    <w:rsid w:val="00B9318E"/>
    <w:rsid w:val="00B937CD"/>
    <w:rsid w:val="00B967C0"/>
    <w:rsid w:val="00B969EC"/>
    <w:rsid w:val="00B97A69"/>
    <w:rsid w:val="00BA7DE0"/>
    <w:rsid w:val="00BB1D40"/>
    <w:rsid w:val="00BB2779"/>
    <w:rsid w:val="00BB38CB"/>
    <w:rsid w:val="00BB48A8"/>
    <w:rsid w:val="00BB5134"/>
    <w:rsid w:val="00BB5BEF"/>
    <w:rsid w:val="00BC0E64"/>
    <w:rsid w:val="00BC2160"/>
    <w:rsid w:val="00BC2270"/>
    <w:rsid w:val="00BC6440"/>
    <w:rsid w:val="00BC79DA"/>
    <w:rsid w:val="00BD109F"/>
    <w:rsid w:val="00BD3538"/>
    <w:rsid w:val="00BD551E"/>
    <w:rsid w:val="00BE0226"/>
    <w:rsid w:val="00BE0BA1"/>
    <w:rsid w:val="00BE5292"/>
    <w:rsid w:val="00BF38AE"/>
    <w:rsid w:val="00C02ED6"/>
    <w:rsid w:val="00C03F32"/>
    <w:rsid w:val="00C11247"/>
    <w:rsid w:val="00C13CAE"/>
    <w:rsid w:val="00C13EFD"/>
    <w:rsid w:val="00C2256F"/>
    <w:rsid w:val="00C22BCE"/>
    <w:rsid w:val="00C30281"/>
    <w:rsid w:val="00C371F0"/>
    <w:rsid w:val="00C43AB9"/>
    <w:rsid w:val="00C45A18"/>
    <w:rsid w:val="00C5295C"/>
    <w:rsid w:val="00C5366A"/>
    <w:rsid w:val="00C54928"/>
    <w:rsid w:val="00C5511A"/>
    <w:rsid w:val="00C55EA3"/>
    <w:rsid w:val="00C61A7E"/>
    <w:rsid w:val="00C62B79"/>
    <w:rsid w:val="00C645D5"/>
    <w:rsid w:val="00C66A55"/>
    <w:rsid w:val="00C71C81"/>
    <w:rsid w:val="00C75F52"/>
    <w:rsid w:val="00C76164"/>
    <w:rsid w:val="00C807A8"/>
    <w:rsid w:val="00C8476E"/>
    <w:rsid w:val="00C85FD7"/>
    <w:rsid w:val="00C86C66"/>
    <w:rsid w:val="00C90FCC"/>
    <w:rsid w:val="00C921ED"/>
    <w:rsid w:val="00C959D0"/>
    <w:rsid w:val="00C96ED0"/>
    <w:rsid w:val="00CA1A2E"/>
    <w:rsid w:val="00CA1F38"/>
    <w:rsid w:val="00CA58DD"/>
    <w:rsid w:val="00CB0217"/>
    <w:rsid w:val="00CB05D0"/>
    <w:rsid w:val="00CB0B18"/>
    <w:rsid w:val="00CB4C0A"/>
    <w:rsid w:val="00CB5B02"/>
    <w:rsid w:val="00CB6AA6"/>
    <w:rsid w:val="00CB7B56"/>
    <w:rsid w:val="00CC2FCD"/>
    <w:rsid w:val="00CC35D0"/>
    <w:rsid w:val="00CC509D"/>
    <w:rsid w:val="00CC6BEB"/>
    <w:rsid w:val="00CD0662"/>
    <w:rsid w:val="00CE2900"/>
    <w:rsid w:val="00CE5B5C"/>
    <w:rsid w:val="00CE7A79"/>
    <w:rsid w:val="00CF200A"/>
    <w:rsid w:val="00CF5BDF"/>
    <w:rsid w:val="00CF7619"/>
    <w:rsid w:val="00D00F00"/>
    <w:rsid w:val="00D01F16"/>
    <w:rsid w:val="00D0374D"/>
    <w:rsid w:val="00D04853"/>
    <w:rsid w:val="00D048FA"/>
    <w:rsid w:val="00D05D3B"/>
    <w:rsid w:val="00D2043B"/>
    <w:rsid w:val="00D20AEE"/>
    <w:rsid w:val="00D21692"/>
    <w:rsid w:val="00D237E9"/>
    <w:rsid w:val="00D2437B"/>
    <w:rsid w:val="00D26B11"/>
    <w:rsid w:val="00D356AD"/>
    <w:rsid w:val="00D35FF0"/>
    <w:rsid w:val="00D372A8"/>
    <w:rsid w:val="00D47331"/>
    <w:rsid w:val="00D52873"/>
    <w:rsid w:val="00D540B5"/>
    <w:rsid w:val="00D5615F"/>
    <w:rsid w:val="00D57E19"/>
    <w:rsid w:val="00D60FC4"/>
    <w:rsid w:val="00D65627"/>
    <w:rsid w:val="00D67353"/>
    <w:rsid w:val="00D70596"/>
    <w:rsid w:val="00D70C27"/>
    <w:rsid w:val="00D72CE6"/>
    <w:rsid w:val="00D755F2"/>
    <w:rsid w:val="00D8349C"/>
    <w:rsid w:val="00D8450D"/>
    <w:rsid w:val="00D859BE"/>
    <w:rsid w:val="00DA3BE3"/>
    <w:rsid w:val="00DA6FB0"/>
    <w:rsid w:val="00DB018F"/>
    <w:rsid w:val="00DB0C82"/>
    <w:rsid w:val="00DB5B4E"/>
    <w:rsid w:val="00DC43C5"/>
    <w:rsid w:val="00DD52B2"/>
    <w:rsid w:val="00DE2CFD"/>
    <w:rsid w:val="00DE6C7A"/>
    <w:rsid w:val="00DE7427"/>
    <w:rsid w:val="00DF06C0"/>
    <w:rsid w:val="00DF3A60"/>
    <w:rsid w:val="00DF6AF7"/>
    <w:rsid w:val="00E00A1E"/>
    <w:rsid w:val="00E11517"/>
    <w:rsid w:val="00E12794"/>
    <w:rsid w:val="00E12FD8"/>
    <w:rsid w:val="00E137CF"/>
    <w:rsid w:val="00E1690D"/>
    <w:rsid w:val="00E23AE2"/>
    <w:rsid w:val="00E24F5C"/>
    <w:rsid w:val="00E30D4D"/>
    <w:rsid w:val="00E315C3"/>
    <w:rsid w:val="00E31E59"/>
    <w:rsid w:val="00E339A5"/>
    <w:rsid w:val="00E341B9"/>
    <w:rsid w:val="00E3570A"/>
    <w:rsid w:val="00E40320"/>
    <w:rsid w:val="00E40AC0"/>
    <w:rsid w:val="00E40E76"/>
    <w:rsid w:val="00E432F7"/>
    <w:rsid w:val="00E514FC"/>
    <w:rsid w:val="00E51672"/>
    <w:rsid w:val="00E56D05"/>
    <w:rsid w:val="00E56D52"/>
    <w:rsid w:val="00E642CF"/>
    <w:rsid w:val="00E643AF"/>
    <w:rsid w:val="00E64BAC"/>
    <w:rsid w:val="00E659C5"/>
    <w:rsid w:val="00E66BE4"/>
    <w:rsid w:val="00E7024C"/>
    <w:rsid w:val="00E71A75"/>
    <w:rsid w:val="00E71F40"/>
    <w:rsid w:val="00E731F9"/>
    <w:rsid w:val="00E811D5"/>
    <w:rsid w:val="00E81A8A"/>
    <w:rsid w:val="00E81EE6"/>
    <w:rsid w:val="00E876E5"/>
    <w:rsid w:val="00E87700"/>
    <w:rsid w:val="00E87A0A"/>
    <w:rsid w:val="00E908F0"/>
    <w:rsid w:val="00E94FEC"/>
    <w:rsid w:val="00E96680"/>
    <w:rsid w:val="00EB765D"/>
    <w:rsid w:val="00EC1639"/>
    <w:rsid w:val="00EC6DE3"/>
    <w:rsid w:val="00ED0D8C"/>
    <w:rsid w:val="00ED21E4"/>
    <w:rsid w:val="00ED387B"/>
    <w:rsid w:val="00ED648B"/>
    <w:rsid w:val="00ED7345"/>
    <w:rsid w:val="00EE3284"/>
    <w:rsid w:val="00EE3EAA"/>
    <w:rsid w:val="00EF68F0"/>
    <w:rsid w:val="00EF6C92"/>
    <w:rsid w:val="00EF79D0"/>
    <w:rsid w:val="00F00DF4"/>
    <w:rsid w:val="00F0280A"/>
    <w:rsid w:val="00F04C21"/>
    <w:rsid w:val="00F10FBB"/>
    <w:rsid w:val="00F121C1"/>
    <w:rsid w:val="00F1429E"/>
    <w:rsid w:val="00F155F2"/>
    <w:rsid w:val="00F15FD2"/>
    <w:rsid w:val="00F26B20"/>
    <w:rsid w:val="00F306AD"/>
    <w:rsid w:val="00F37FEA"/>
    <w:rsid w:val="00F4132F"/>
    <w:rsid w:val="00F426FC"/>
    <w:rsid w:val="00F44D69"/>
    <w:rsid w:val="00F4660F"/>
    <w:rsid w:val="00F46EA0"/>
    <w:rsid w:val="00F475FC"/>
    <w:rsid w:val="00F5715D"/>
    <w:rsid w:val="00F60C1E"/>
    <w:rsid w:val="00F63DD9"/>
    <w:rsid w:val="00F66533"/>
    <w:rsid w:val="00F6741B"/>
    <w:rsid w:val="00F71CC1"/>
    <w:rsid w:val="00F76B8C"/>
    <w:rsid w:val="00F8027C"/>
    <w:rsid w:val="00F84E04"/>
    <w:rsid w:val="00F84E8A"/>
    <w:rsid w:val="00F87CE4"/>
    <w:rsid w:val="00F9067E"/>
    <w:rsid w:val="00F9070B"/>
    <w:rsid w:val="00F942D7"/>
    <w:rsid w:val="00F94CE1"/>
    <w:rsid w:val="00F9596F"/>
    <w:rsid w:val="00FA1CBB"/>
    <w:rsid w:val="00FA5ECC"/>
    <w:rsid w:val="00FA782A"/>
    <w:rsid w:val="00FA7C0E"/>
    <w:rsid w:val="00FB0719"/>
    <w:rsid w:val="00FB0C04"/>
    <w:rsid w:val="00FB5BD8"/>
    <w:rsid w:val="00FB67C7"/>
    <w:rsid w:val="00FB76CD"/>
    <w:rsid w:val="00FC0222"/>
    <w:rsid w:val="00FC0F43"/>
    <w:rsid w:val="00FC181D"/>
    <w:rsid w:val="00FC1A11"/>
    <w:rsid w:val="00FC218A"/>
    <w:rsid w:val="00FC318A"/>
    <w:rsid w:val="00FC4551"/>
    <w:rsid w:val="00FD760F"/>
    <w:rsid w:val="00FE0B4B"/>
    <w:rsid w:val="00FE466F"/>
    <w:rsid w:val="00FE518E"/>
    <w:rsid w:val="00FF086B"/>
    <w:rsid w:val="00FF51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516A2B5-6F7F-43C7-B3FE-60872641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D0"/>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1">
    <w:name w:val="heading 1"/>
    <w:basedOn w:val="a"/>
    <w:next w:val="a"/>
    <w:link w:val="10"/>
    <w:qFormat/>
    <w:rsid w:val="00725D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C959D0"/>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C959D0"/>
    <w:pPr>
      <w:tabs>
        <w:tab w:val="left" w:pos="1191"/>
        <w:tab w:val="left" w:pos="1587"/>
      </w:tabs>
      <w:spacing w:before="240" w:after="240" w:line="480" w:lineRule="auto"/>
      <w:jc w:val="center"/>
    </w:pPr>
  </w:style>
  <w:style w:type="paragraph" w:customStyle="1" w:styleId="Cover2-HatzaotHok">
    <w:name w:val="Cover 2-HatzaotHok"/>
    <w:basedOn w:val="Cover1-Reshumot"/>
    <w:rsid w:val="00C959D0"/>
    <w:rPr>
      <w:sz w:val="36"/>
      <w:szCs w:val="52"/>
    </w:rPr>
  </w:style>
  <w:style w:type="paragraph" w:customStyle="1" w:styleId="Cover3-Haknesset">
    <w:name w:val="Cover 3-Haknesset"/>
    <w:basedOn w:val="Cover1-Reshumot"/>
    <w:rsid w:val="00C959D0"/>
    <w:rPr>
      <w:b/>
      <w:bCs/>
      <w:spacing w:val="60"/>
    </w:rPr>
  </w:style>
  <w:style w:type="paragraph" w:customStyle="1" w:styleId="Cover4-Date">
    <w:name w:val="Cover 4-Date"/>
    <w:basedOn w:val="Noparagraphstyle"/>
    <w:rsid w:val="00C959D0"/>
    <w:pPr>
      <w:pBdr>
        <w:bottom w:val="single" w:sz="4" w:space="0" w:color="auto"/>
      </w:pBdr>
      <w:tabs>
        <w:tab w:val="center" w:pos="4820"/>
        <w:tab w:val="right" w:pos="9639"/>
      </w:tabs>
      <w:spacing w:before="240" w:after="240"/>
    </w:pPr>
  </w:style>
  <w:style w:type="paragraph" w:customStyle="1" w:styleId="TOC">
    <w:name w:val="TOC"/>
    <w:basedOn w:val="Noparagraphstyle"/>
    <w:rsid w:val="00C959D0"/>
    <w:pPr>
      <w:tabs>
        <w:tab w:val="left" w:leader="dot" w:pos="8789"/>
      </w:tabs>
      <w:spacing w:before="120"/>
      <w:ind w:left="284" w:right="284"/>
    </w:pPr>
  </w:style>
  <w:style w:type="paragraph" w:customStyle="1" w:styleId="TOCpg">
    <w:name w:val="TOC pg"/>
    <w:basedOn w:val="TOC"/>
    <w:rsid w:val="00C959D0"/>
    <w:pPr>
      <w:spacing w:after="120"/>
      <w:ind w:right="567"/>
      <w:jc w:val="right"/>
    </w:pPr>
  </w:style>
  <w:style w:type="paragraph" w:customStyle="1" w:styleId="HeadMitparsemetBaze">
    <w:name w:val="Head MitparsemetBaze"/>
    <w:basedOn w:val="Noparagraphstyle"/>
    <w:rsid w:val="00C959D0"/>
    <w:pPr>
      <w:keepNext/>
      <w:keepLines/>
      <w:pageBreakBefore/>
      <w:spacing w:before="480"/>
      <w:jc w:val="both"/>
    </w:pPr>
    <w:rPr>
      <w:b/>
      <w:bCs/>
    </w:rPr>
  </w:style>
  <w:style w:type="paragraph" w:customStyle="1" w:styleId="HeadHatzaotHok">
    <w:name w:val="Head HatzaotHok"/>
    <w:basedOn w:val="Noparagraphstyle"/>
    <w:rsid w:val="00C959D0"/>
    <w:pPr>
      <w:keepNext/>
      <w:keepLines/>
      <w:spacing w:before="240"/>
      <w:jc w:val="center"/>
    </w:pPr>
    <w:rPr>
      <w:b/>
      <w:bCs/>
    </w:rPr>
  </w:style>
  <w:style w:type="paragraph" w:customStyle="1" w:styleId="HeadHatzaotHok4Futer">
    <w:name w:val="Head HatzaotHok4Futer"/>
    <w:basedOn w:val="HeadHatzaotHok"/>
    <w:rsid w:val="00C959D0"/>
    <w:pPr>
      <w:spacing w:before="120" w:after="120"/>
    </w:pPr>
    <w:rPr>
      <w:color w:val="FF0000"/>
      <w:w w:val="80"/>
    </w:rPr>
  </w:style>
  <w:style w:type="paragraph" w:styleId="a3">
    <w:name w:val="endnote text"/>
    <w:basedOn w:val="Ragil"/>
    <w:semiHidden/>
    <w:rsid w:val="00C959D0"/>
    <w:pPr>
      <w:ind w:left="227" w:hanging="227"/>
    </w:pPr>
    <w:rPr>
      <w:sz w:val="14"/>
      <w:szCs w:val="22"/>
    </w:rPr>
  </w:style>
  <w:style w:type="paragraph" w:customStyle="1" w:styleId="TableText">
    <w:name w:val="Table Text"/>
    <w:basedOn w:val="Ragil"/>
    <w:rsid w:val="00C959D0"/>
    <w:pPr>
      <w:keepLines/>
      <w:tabs>
        <w:tab w:val="left" w:pos="624"/>
        <w:tab w:val="left" w:pos="1247"/>
      </w:tabs>
      <w:ind w:right="57" w:firstLine="0"/>
    </w:pPr>
  </w:style>
  <w:style w:type="paragraph" w:customStyle="1" w:styleId="TableSideHeading">
    <w:name w:val="Table SideHeading"/>
    <w:basedOn w:val="TableText"/>
    <w:rsid w:val="00C959D0"/>
  </w:style>
  <w:style w:type="paragraph" w:customStyle="1" w:styleId="TableBlock">
    <w:name w:val="Table Block"/>
    <w:basedOn w:val="TableText"/>
    <w:rsid w:val="00C959D0"/>
    <w:pPr>
      <w:ind w:right="0"/>
      <w:jc w:val="both"/>
    </w:pPr>
  </w:style>
  <w:style w:type="paragraph" w:customStyle="1" w:styleId="TableHead">
    <w:name w:val="Table Head"/>
    <w:basedOn w:val="TableText"/>
    <w:rsid w:val="00C959D0"/>
    <w:pPr>
      <w:ind w:right="0"/>
      <w:jc w:val="center"/>
    </w:pPr>
    <w:rPr>
      <w:b/>
      <w:bCs/>
    </w:rPr>
  </w:style>
  <w:style w:type="paragraph" w:customStyle="1" w:styleId="TableText2">
    <w:name w:val="Table Text2"/>
    <w:basedOn w:val="TableText"/>
    <w:rsid w:val="00C959D0"/>
  </w:style>
  <w:style w:type="paragraph" w:customStyle="1" w:styleId="TableInnerSideHeading">
    <w:name w:val="Table InnerSideHeading"/>
    <w:basedOn w:val="TableSideHeading"/>
    <w:rsid w:val="00C959D0"/>
  </w:style>
  <w:style w:type="paragraph" w:customStyle="1" w:styleId="Hesber">
    <w:name w:val="Hesber"/>
    <w:basedOn w:val="Ragil"/>
    <w:rsid w:val="00C959D0"/>
    <w:pPr>
      <w:jc w:val="both"/>
    </w:pPr>
  </w:style>
  <w:style w:type="paragraph" w:styleId="a4">
    <w:name w:val="footnote text"/>
    <w:basedOn w:val="Ragil"/>
    <w:link w:val="a5"/>
    <w:autoRedefine/>
    <w:semiHidden/>
    <w:rsid w:val="00644940"/>
    <w:pPr>
      <w:spacing w:line="240" w:lineRule="auto"/>
      <w:ind w:left="227" w:hanging="227"/>
    </w:pPr>
    <w:rPr>
      <w:sz w:val="14"/>
      <w:szCs w:val="20"/>
    </w:rPr>
  </w:style>
  <w:style w:type="character" w:styleId="a6">
    <w:name w:val="footnote reference"/>
    <w:aliases w:val="Footnote Reference"/>
    <w:basedOn w:val="a0"/>
    <w:semiHidden/>
    <w:rsid w:val="00C959D0"/>
    <w:rPr>
      <w:vertAlign w:val="superscript"/>
    </w:rPr>
  </w:style>
  <w:style w:type="paragraph" w:customStyle="1" w:styleId="HesberHeading">
    <w:name w:val="Hesber Heading"/>
    <w:basedOn w:val="Hesber"/>
    <w:rsid w:val="00C959D0"/>
    <w:pPr>
      <w:keepNext/>
      <w:keepLines/>
      <w:spacing w:before="240"/>
      <w:ind w:firstLine="0"/>
    </w:pPr>
    <w:rPr>
      <w:b/>
      <w:bCs/>
    </w:rPr>
  </w:style>
  <w:style w:type="paragraph" w:customStyle="1" w:styleId="HesberWriters">
    <w:name w:val="Hesber Writers"/>
    <w:basedOn w:val="Hesber"/>
    <w:rsid w:val="00C959D0"/>
    <w:pPr>
      <w:spacing w:before="120" w:after="6000"/>
      <w:ind w:left="1418" w:firstLine="0"/>
      <w:jc w:val="right"/>
    </w:pPr>
    <w:rPr>
      <w:b/>
      <w:bCs/>
    </w:rPr>
  </w:style>
  <w:style w:type="paragraph" w:customStyle="1" w:styleId="Hesber1st">
    <w:name w:val="Hesber 1st"/>
    <w:basedOn w:val="Hesber"/>
    <w:rsid w:val="00C959D0"/>
    <w:pPr>
      <w:tabs>
        <w:tab w:val="left" w:pos="680"/>
        <w:tab w:val="left" w:pos="1020"/>
      </w:tabs>
      <w:ind w:firstLine="0"/>
    </w:pPr>
  </w:style>
  <w:style w:type="character" w:styleId="a7">
    <w:name w:val="endnote reference"/>
    <w:basedOn w:val="a0"/>
    <w:semiHidden/>
    <w:rsid w:val="00C959D0"/>
    <w:rPr>
      <w:vertAlign w:val="superscript"/>
    </w:rPr>
  </w:style>
  <w:style w:type="paragraph" w:customStyle="1" w:styleId="TableBlockOutdent">
    <w:name w:val="Table BlockOutdent"/>
    <w:basedOn w:val="TableBlock"/>
    <w:rsid w:val="0003252C"/>
    <w:pPr>
      <w:ind w:left="624" w:hanging="624"/>
    </w:pPr>
  </w:style>
  <w:style w:type="paragraph" w:styleId="a8">
    <w:name w:val="header"/>
    <w:basedOn w:val="a"/>
    <w:rsid w:val="00C959D0"/>
    <w:pPr>
      <w:tabs>
        <w:tab w:val="center" w:pos="4153"/>
        <w:tab w:val="right" w:pos="8306"/>
      </w:tabs>
    </w:pPr>
  </w:style>
  <w:style w:type="paragraph" w:styleId="a9">
    <w:name w:val="footer"/>
    <w:basedOn w:val="a"/>
    <w:rsid w:val="00C959D0"/>
    <w:pPr>
      <w:tabs>
        <w:tab w:val="center" w:pos="4153"/>
        <w:tab w:val="right" w:pos="8306"/>
      </w:tabs>
    </w:pPr>
  </w:style>
  <w:style w:type="paragraph" w:customStyle="1" w:styleId="HeadDivreiHesber">
    <w:name w:val="Head DivreiHesber"/>
    <w:basedOn w:val="Ragil"/>
    <w:rsid w:val="00C959D0"/>
    <w:pPr>
      <w:spacing w:before="360" w:after="120"/>
      <w:ind w:firstLine="0"/>
      <w:jc w:val="center"/>
    </w:pPr>
    <w:rPr>
      <w:b/>
      <w:spacing w:val="40"/>
    </w:rPr>
  </w:style>
  <w:style w:type="paragraph" w:customStyle="1" w:styleId="Ragil">
    <w:name w:val="Ragil"/>
    <w:basedOn w:val="Noparagraphstyle"/>
    <w:rsid w:val="00C959D0"/>
    <w:pPr>
      <w:ind w:firstLine="340"/>
    </w:pPr>
  </w:style>
  <w:style w:type="character" w:styleId="aa">
    <w:name w:val="page number"/>
    <w:basedOn w:val="a0"/>
    <w:rsid w:val="00CF5BDF"/>
  </w:style>
  <w:style w:type="character" w:customStyle="1" w:styleId="default">
    <w:name w:val="default"/>
    <w:basedOn w:val="a0"/>
    <w:rsid w:val="00DD52B2"/>
    <w:rPr>
      <w:rFonts w:ascii="Times New Roman" w:hAnsi="Times New Roman" w:cs="Times New Roman"/>
      <w:sz w:val="26"/>
      <w:szCs w:val="26"/>
    </w:rPr>
  </w:style>
  <w:style w:type="paragraph" w:customStyle="1" w:styleId="P00">
    <w:name w:val="P00"/>
    <w:rsid w:val="008971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paragraph" w:styleId="ab">
    <w:name w:val="Balloon Text"/>
    <w:basedOn w:val="a"/>
    <w:link w:val="ac"/>
    <w:rsid w:val="009D048D"/>
    <w:pPr>
      <w:spacing w:before="0" w:line="240" w:lineRule="auto"/>
    </w:pPr>
    <w:rPr>
      <w:rFonts w:ascii="Tahoma" w:hAnsi="Tahoma" w:cs="Tahoma"/>
      <w:sz w:val="16"/>
      <w:szCs w:val="16"/>
    </w:rPr>
  </w:style>
  <w:style w:type="character" w:customStyle="1" w:styleId="ac">
    <w:name w:val="טקסט בלונים תו"/>
    <w:basedOn w:val="a0"/>
    <w:link w:val="ab"/>
    <w:rsid w:val="009D048D"/>
    <w:rPr>
      <w:rFonts w:ascii="Tahoma" w:hAnsi="Tahoma" w:cs="Tahoma"/>
      <w:color w:val="000000"/>
      <w:spacing w:val="1"/>
      <w:sz w:val="16"/>
      <w:szCs w:val="16"/>
      <w:lang w:eastAsia="ja-JP"/>
    </w:rPr>
  </w:style>
  <w:style w:type="paragraph" w:styleId="ad">
    <w:name w:val="List Paragraph"/>
    <w:basedOn w:val="a"/>
    <w:link w:val="ae"/>
    <w:uiPriority w:val="34"/>
    <w:qFormat/>
    <w:rsid w:val="00ED21E4"/>
    <w:pPr>
      <w:ind w:left="720"/>
      <w:contextualSpacing/>
    </w:pPr>
  </w:style>
  <w:style w:type="character" w:styleId="af">
    <w:name w:val="annotation reference"/>
    <w:basedOn w:val="a0"/>
    <w:rsid w:val="001B10A8"/>
    <w:rPr>
      <w:sz w:val="16"/>
      <w:szCs w:val="16"/>
    </w:rPr>
  </w:style>
  <w:style w:type="paragraph" w:styleId="af0">
    <w:name w:val="annotation text"/>
    <w:basedOn w:val="a"/>
    <w:link w:val="af1"/>
    <w:rsid w:val="001B10A8"/>
    <w:pPr>
      <w:spacing w:line="240" w:lineRule="auto"/>
    </w:pPr>
    <w:rPr>
      <w:sz w:val="20"/>
      <w:szCs w:val="20"/>
    </w:rPr>
  </w:style>
  <w:style w:type="character" w:customStyle="1" w:styleId="af1">
    <w:name w:val="טקסט הערה תו"/>
    <w:basedOn w:val="a0"/>
    <w:link w:val="af0"/>
    <w:rsid w:val="001B10A8"/>
    <w:rPr>
      <w:rFonts w:ascii="Hadasa Roso SL" w:hAnsi="Hadasa Roso SL" w:cs="Hadasa Roso SL"/>
      <w:color w:val="000000"/>
      <w:spacing w:val="1"/>
      <w:lang w:eastAsia="ja-JP"/>
    </w:rPr>
  </w:style>
  <w:style w:type="paragraph" w:styleId="af2">
    <w:name w:val="annotation subject"/>
    <w:basedOn w:val="af0"/>
    <w:next w:val="af0"/>
    <w:link w:val="af3"/>
    <w:rsid w:val="001B10A8"/>
    <w:rPr>
      <w:b/>
      <w:bCs/>
    </w:rPr>
  </w:style>
  <w:style w:type="character" w:customStyle="1" w:styleId="af3">
    <w:name w:val="נושא הערה תו"/>
    <w:basedOn w:val="af1"/>
    <w:link w:val="af2"/>
    <w:rsid w:val="001B10A8"/>
    <w:rPr>
      <w:rFonts w:ascii="Hadasa Roso SL" w:hAnsi="Hadasa Roso SL" w:cs="Hadasa Roso SL"/>
      <w:b/>
      <w:bCs/>
      <w:color w:val="000000"/>
      <w:spacing w:val="1"/>
      <w:lang w:eastAsia="ja-JP"/>
    </w:rPr>
  </w:style>
  <w:style w:type="paragraph" w:styleId="af4">
    <w:name w:val="Revision"/>
    <w:hidden/>
    <w:uiPriority w:val="99"/>
    <w:semiHidden/>
    <w:rsid w:val="001B10A8"/>
    <w:rPr>
      <w:rFonts w:ascii="Hadasa Roso SL" w:hAnsi="Hadasa Roso SL" w:cs="Hadasa Roso SL"/>
      <w:color w:val="000000"/>
      <w:spacing w:val="1"/>
      <w:sz w:val="17"/>
      <w:szCs w:val="17"/>
      <w:lang w:eastAsia="ja-JP"/>
    </w:rPr>
  </w:style>
  <w:style w:type="character" w:customStyle="1" w:styleId="10">
    <w:name w:val="כותרת 1 תו"/>
    <w:basedOn w:val="a0"/>
    <w:link w:val="1"/>
    <w:rsid w:val="00725DE4"/>
    <w:rPr>
      <w:rFonts w:asciiTheme="majorHAnsi" w:eastAsiaTheme="majorEastAsia" w:hAnsiTheme="majorHAnsi" w:cstheme="majorBidi"/>
      <w:color w:val="365F91" w:themeColor="accent1" w:themeShade="BF"/>
      <w:spacing w:val="1"/>
      <w:sz w:val="32"/>
      <w:szCs w:val="32"/>
      <w:lang w:eastAsia="ja-JP"/>
    </w:rPr>
  </w:style>
  <w:style w:type="character" w:styleId="af5">
    <w:name w:val="Strong"/>
    <w:basedOn w:val="a0"/>
    <w:qFormat/>
    <w:rsid w:val="00590BE7"/>
    <w:rPr>
      <w:b/>
      <w:bCs/>
    </w:rPr>
  </w:style>
  <w:style w:type="character" w:customStyle="1" w:styleId="a5">
    <w:name w:val="טקסט הערת שוליים תו"/>
    <w:basedOn w:val="a0"/>
    <w:link w:val="a4"/>
    <w:semiHidden/>
    <w:rsid w:val="00CA1F38"/>
    <w:rPr>
      <w:rFonts w:ascii="Arial" w:eastAsia="Arial Unicode MS" w:hAnsi="Arial" w:cs="David"/>
      <w:snapToGrid w:val="0"/>
      <w:color w:val="000000"/>
      <w:sz w:val="14"/>
      <w:lang w:eastAsia="ja-JP"/>
    </w:rPr>
  </w:style>
  <w:style w:type="table" w:styleId="af6">
    <w:name w:val="Table Grid"/>
    <w:basedOn w:val="a1"/>
    <w:uiPriority w:val="59"/>
    <w:rsid w:val="00734B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פיסקת רשימה תו"/>
    <w:link w:val="ad"/>
    <w:uiPriority w:val="34"/>
    <w:locked/>
    <w:rsid w:val="00FF086B"/>
    <w:rPr>
      <w:rFonts w:ascii="Hadasa Roso SL"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15875">
      <w:bodyDiv w:val="1"/>
      <w:marLeft w:val="0"/>
      <w:marRight w:val="0"/>
      <w:marTop w:val="0"/>
      <w:marBottom w:val="0"/>
      <w:divBdr>
        <w:top w:val="none" w:sz="0" w:space="0" w:color="auto"/>
        <w:left w:val="none" w:sz="0" w:space="0" w:color="auto"/>
        <w:bottom w:val="none" w:sz="0" w:space="0" w:color="auto"/>
        <w:right w:val="none" w:sz="0" w:space="0" w:color="auto"/>
      </w:divBdr>
    </w:div>
    <w:div w:id="659695961">
      <w:bodyDiv w:val="1"/>
      <w:marLeft w:val="0"/>
      <w:marRight w:val="0"/>
      <w:marTop w:val="0"/>
      <w:marBottom w:val="0"/>
      <w:divBdr>
        <w:top w:val="none" w:sz="0" w:space="0" w:color="auto"/>
        <w:left w:val="none" w:sz="0" w:space="0" w:color="auto"/>
        <w:bottom w:val="none" w:sz="0" w:space="0" w:color="auto"/>
        <w:right w:val="none" w:sz="0" w:space="0" w:color="auto"/>
      </w:divBdr>
    </w:div>
    <w:div w:id="15012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43753</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9F28-BF91-4376-AB8B-126C0315BD14}">
  <ds:schemaRefs>
    <ds:schemaRef ds:uri="http://schemas.microsoft.com/sharepoint/v3/contenttype/forms"/>
  </ds:schemaRefs>
</ds:datastoreItem>
</file>

<file path=customXml/itemProps2.xml><?xml version="1.0" encoding="utf-8"?>
<ds:datastoreItem xmlns:ds="http://schemas.openxmlformats.org/officeDocument/2006/customXml" ds:itemID="{641AF5F8-1360-48EB-B24E-3FB3A768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A431EA-BAAA-46F8-9FE6-940F2B752F76}">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BEED6A50-5076-43B8-82D0-CFDCB559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2650</Words>
  <Characters>13251</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פרק מיסים.docx</vt:lpstr>
    </vt:vector>
  </TitlesOfParts>
  <Company>MOF</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מיסים.docx</dc:title>
  <dc:creator>xxkeren</dc:creator>
  <cp:lastModifiedBy>dalia</cp:lastModifiedBy>
  <cp:revision>3</cp:revision>
  <cp:lastPrinted>2018-01-16T08:44:00Z</cp:lastPrinted>
  <dcterms:created xsi:type="dcterms:W3CDTF">2018-01-16T16:39:00Z</dcterms:created>
  <dcterms:modified xsi:type="dcterms:W3CDTF">2018-01-16T16:39:00Z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notes://MAOR2/Doc/Mishpatit/MishDocNew2.nsf/0/2430555C3141C3C5C22581F2003377B4/?OpenDocument</vt:lpwstr>
  </property>
  <property fmtid="{D5CDD505-2E9C-101B-9397-08002B2CF9AE}" pid="3" name="MaorRecipients0">
    <vt:lpwstr>efratpr@mof.gov.il,elibing@mof.gov.il,asime@mof.gov.il</vt:lpwstr>
  </property>
  <property fmtid="{D5CDD505-2E9C-101B-9397-08002B2CF9AE}" pid="4" name="MaorRecipients1">
    <vt:lpwstr/>
  </property>
  <property fmtid="{D5CDD505-2E9C-101B-9397-08002B2CF9AE}" pid="5" name="ContentTypeId">
    <vt:lpwstr>0x010100161B5BAE19C0A94ABF7F052772C71F14</vt:lpwstr>
  </property>
</Properties>
</file>