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B1C" w:rsidRPr="006970AD" w:rsidRDefault="00167B1C" w:rsidP="00167B1C">
      <w:pPr>
        <w:ind w:left="7371" w:firstLine="0"/>
        <w:jc w:val="left"/>
        <w:rPr>
          <w:rFonts w:cs="David"/>
          <w:sz w:val="22"/>
          <w:szCs w:val="22"/>
          <w:rtl/>
        </w:rPr>
      </w:pPr>
      <w:bookmarkStart w:id="0" w:name="_GoBack"/>
      <w:bookmarkEnd w:id="0"/>
      <w:r w:rsidRPr="006970AD">
        <w:rPr>
          <w:rFonts w:cs="David"/>
          <w:sz w:val="22"/>
          <w:szCs w:val="22"/>
          <w:rtl/>
        </w:rPr>
        <w:br/>
      </w:r>
    </w:p>
    <w:p w:rsidR="00167B1C" w:rsidRDefault="00167B1C" w:rsidP="00167B1C">
      <w:pPr>
        <w:pStyle w:val="TableBlock"/>
        <w:rPr>
          <w:u w:val="single"/>
          <w:rtl/>
        </w:rPr>
      </w:pPr>
      <w:bookmarkStart w:id="1" w:name="DocNum"/>
      <w:bookmarkEnd w:id="1"/>
    </w:p>
    <w:p w:rsidR="00AB46BD" w:rsidRDefault="00AB46BD" w:rsidP="00AB46BD">
      <w:pPr>
        <w:pStyle w:val="TableBlock"/>
        <w:jc w:val="center"/>
        <w:rPr>
          <w:b/>
          <w:bCs/>
          <w:u w:val="single"/>
          <w:rtl/>
        </w:rPr>
      </w:pPr>
      <w:r>
        <w:rPr>
          <w:rFonts w:hint="cs"/>
          <w:b/>
          <w:bCs/>
          <w:u w:val="single"/>
          <w:rtl/>
        </w:rPr>
        <w:t>תזכיר חוק</w:t>
      </w:r>
      <w:r w:rsidR="009337A4">
        <w:rPr>
          <w:rFonts w:hint="cs"/>
          <w:b/>
          <w:bCs/>
          <w:u w:val="single"/>
          <w:rtl/>
        </w:rPr>
        <w:t xml:space="preserve"> לתיקון פקודת מס הכנסה</w:t>
      </w:r>
      <w:r w:rsidR="00891000" w:rsidRPr="00891000">
        <w:rPr>
          <w:b/>
          <w:bCs/>
          <w:u w:val="single"/>
          <w:rtl/>
        </w:rPr>
        <w:t>(תיקון מס' ), התשע"ח-2018</w:t>
      </w:r>
    </w:p>
    <w:p w:rsidR="00AB46BD" w:rsidRDefault="00AB46BD" w:rsidP="00167B1C">
      <w:pPr>
        <w:pStyle w:val="TableBlock"/>
        <w:rPr>
          <w:u w:val="single"/>
          <w:rtl/>
        </w:rPr>
      </w:pPr>
    </w:p>
    <w:p w:rsidR="00AB46BD" w:rsidRPr="00AB46BD" w:rsidRDefault="00AB46BD" w:rsidP="00AB46BD">
      <w:pPr>
        <w:pStyle w:val="TableBlock"/>
        <w:numPr>
          <w:ilvl w:val="0"/>
          <w:numId w:val="11"/>
        </w:numPr>
        <w:tabs>
          <w:tab w:val="clear" w:pos="624"/>
          <w:tab w:val="clear" w:pos="720"/>
          <w:tab w:val="clear" w:pos="1247"/>
          <w:tab w:val="left" w:pos="425"/>
        </w:tabs>
        <w:ind w:left="0" w:firstLine="0"/>
        <w:rPr>
          <w:b/>
          <w:bCs/>
        </w:rPr>
      </w:pPr>
      <w:r>
        <w:rPr>
          <w:rFonts w:hint="cs"/>
          <w:b/>
          <w:bCs/>
          <w:u w:val="single"/>
          <w:rtl/>
        </w:rPr>
        <w:t>שם החוק המוצע</w:t>
      </w:r>
    </w:p>
    <w:p w:rsidR="00AB46BD" w:rsidRDefault="00AB46BD" w:rsidP="00AB46BD">
      <w:pPr>
        <w:pStyle w:val="TableBlock"/>
        <w:tabs>
          <w:tab w:val="clear" w:pos="624"/>
          <w:tab w:val="clear" w:pos="1247"/>
          <w:tab w:val="left" w:pos="425"/>
        </w:tabs>
        <w:rPr>
          <w:b/>
          <w:bCs/>
          <w:u w:val="single"/>
          <w:rtl/>
        </w:rPr>
      </w:pPr>
    </w:p>
    <w:p w:rsidR="00AB46BD" w:rsidRDefault="00891000" w:rsidP="00891000">
      <w:pPr>
        <w:pStyle w:val="TableBlock"/>
        <w:tabs>
          <w:tab w:val="clear" w:pos="624"/>
          <w:tab w:val="clear" w:pos="1247"/>
          <w:tab w:val="left" w:pos="425"/>
        </w:tabs>
        <w:rPr>
          <w:rtl/>
        </w:rPr>
      </w:pPr>
      <w:r>
        <w:rPr>
          <w:rFonts w:hint="cs"/>
          <w:rtl/>
        </w:rPr>
        <w:t xml:space="preserve">תזכיר </w:t>
      </w:r>
      <w:r w:rsidR="00AB46BD">
        <w:rPr>
          <w:rFonts w:hint="cs"/>
          <w:rtl/>
        </w:rPr>
        <w:t>חוק לתיקון פקודת מס הכנסה (תיקון מס' ), התשע"</w:t>
      </w:r>
      <w:r w:rsidR="004F121B">
        <w:rPr>
          <w:rFonts w:hint="cs"/>
          <w:rtl/>
        </w:rPr>
        <w:t>ח-</w:t>
      </w:r>
      <w:r w:rsidR="009643B8">
        <w:rPr>
          <w:rFonts w:hint="cs"/>
          <w:rtl/>
        </w:rPr>
        <w:t>2018</w:t>
      </w:r>
      <w:r w:rsidR="004F121B">
        <w:rPr>
          <w:rFonts w:hint="cs"/>
          <w:rtl/>
        </w:rPr>
        <w:t>.</w:t>
      </w:r>
    </w:p>
    <w:p w:rsidR="00AB46BD" w:rsidRDefault="00AB46BD" w:rsidP="00AB46BD">
      <w:pPr>
        <w:pStyle w:val="TableBlock"/>
        <w:tabs>
          <w:tab w:val="clear" w:pos="624"/>
          <w:tab w:val="clear" w:pos="1247"/>
          <w:tab w:val="left" w:pos="425"/>
        </w:tabs>
        <w:rPr>
          <w:rtl/>
        </w:rPr>
      </w:pPr>
    </w:p>
    <w:p w:rsidR="00AB46BD" w:rsidRDefault="00E648A0" w:rsidP="00AB46BD">
      <w:pPr>
        <w:pStyle w:val="TableBlock"/>
        <w:numPr>
          <w:ilvl w:val="0"/>
          <w:numId w:val="11"/>
        </w:numPr>
        <w:tabs>
          <w:tab w:val="clear" w:pos="624"/>
          <w:tab w:val="clear" w:pos="720"/>
          <w:tab w:val="clear" w:pos="1247"/>
          <w:tab w:val="left" w:pos="425"/>
        </w:tabs>
        <w:ind w:left="0" w:firstLine="0"/>
      </w:pPr>
      <w:r>
        <w:rPr>
          <w:rFonts w:hint="cs"/>
          <w:b/>
          <w:bCs/>
          <w:u w:val="single"/>
          <w:rtl/>
        </w:rPr>
        <w:t>עיקרי</w:t>
      </w:r>
      <w:r w:rsidR="00AB46BD">
        <w:rPr>
          <w:rFonts w:hint="cs"/>
          <w:b/>
          <w:bCs/>
          <w:u w:val="single"/>
          <w:rtl/>
        </w:rPr>
        <w:t xml:space="preserve"> החוק המוצע והצורך בו</w:t>
      </w:r>
    </w:p>
    <w:p w:rsidR="004F3312" w:rsidRDefault="004F3312" w:rsidP="004F3312">
      <w:pPr>
        <w:pStyle w:val="TableBlock"/>
        <w:tabs>
          <w:tab w:val="clear" w:pos="624"/>
          <w:tab w:val="clear" w:pos="1247"/>
          <w:tab w:val="left" w:pos="425"/>
        </w:tabs>
        <w:rPr>
          <w:rtl/>
        </w:rPr>
      </w:pPr>
    </w:p>
    <w:p w:rsidR="009643B8" w:rsidRDefault="004F3312" w:rsidP="009643B8">
      <w:pPr>
        <w:pStyle w:val="TableBlock"/>
        <w:tabs>
          <w:tab w:val="clear" w:pos="624"/>
          <w:tab w:val="clear" w:pos="1247"/>
          <w:tab w:val="left" w:pos="425"/>
        </w:tabs>
        <w:rPr>
          <w:rtl/>
        </w:rPr>
      </w:pPr>
      <w:r>
        <w:rPr>
          <w:rtl/>
        </w:rPr>
        <w:t xml:space="preserve">מוצע לבטל את ההסדר בדבר חברה שקופה הקבוע בסעיף 64א1 לפקודה, </w:t>
      </w:r>
      <w:r w:rsidR="009337A4">
        <w:rPr>
          <w:rFonts w:hint="cs"/>
          <w:rtl/>
        </w:rPr>
        <w:t xml:space="preserve">אשר </w:t>
      </w:r>
      <w:r>
        <w:rPr>
          <w:rtl/>
        </w:rPr>
        <w:t>טרם נכנס לתוקף משנת 2003</w:t>
      </w:r>
      <w:r>
        <w:t>.</w:t>
      </w:r>
      <w:r w:rsidR="009337A4">
        <w:rPr>
          <w:rFonts w:hint="cs"/>
          <w:rtl/>
        </w:rPr>
        <w:t xml:space="preserve"> </w:t>
      </w:r>
      <w:r>
        <w:rPr>
          <w:rtl/>
        </w:rPr>
        <w:t>ה</w:t>
      </w:r>
      <w:r w:rsidR="009337A4">
        <w:rPr>
          <w:rFonts w:hint="cs"/>
          <w:rtl/>
        </w:rPr>
        <w:t>הסדר</w:t>
      </w:r>
      <w:r>
        <w:rPr>
          <w:rtl/>
        </w:rPr>
        <w:t xml:space="preserve"> האמור נקבע במסגרת הרפורמה במס הכנסה שבאה לידי ביטוי בחוק לתיקון פקודת מס הכנסה </w:t>
      </w:r>
      <w:r>
        <w:rPr>
          <w:rFonts w:hint="cs"/>
          <w:rtl/>
        </w:rPr>
        <w:t>(</w:t>
      </w:r>
      <w:r>
        <w:rPr>
          <w:rtl/>
        </w:rPr>
        <w:t>מס</w:t>
      </w:r>
      <w:r>
        <w:rPr>
          <w:rFonts w:hint="cs"/>
          <w:rtl/>
        </w:rPr>
        <w:t xml:space="preserve">' 132), </w:t>
      </w:r>
      <w:r>
        <w:rPr>
          <w:rtl/>
        </w:rPr>
        <w:t>התשס"ב-2002,</w:t>
      </w:r>
      <w:r w:rsidR="009337A4">
        <w:rPr>
          <w:rFonts w:hint="cs"/>
          <w:rtl/>
        </w:rPr>
        <w:t xml:space="preserve"> </w:t>
      </w:r>
      <w:r>
        <w:rPr>
          <w:rtl/>
        </w:rPr>
        <w:t>ואמור היה להחליף את מנגנון החברה המשפחתית</w:t>
      </w:r>
      <w:r w:rsidR="009337A4">
        <w:rPr>
          <w:rFonts w:hint="cs"/>
          <w:rtl/>
        </w:rPr>
        <w:t xml:space="preserve"> וחברת הבית</w:t>
      </w:r>
      <w:r>
        <w:rPr>
          <w:rtl/>
        </w:rPr>
        <w:t xml:space="preserve">. </w:t>
      </w:r>
      <w:r w:rsidR="009643B8">
        <w:rPr>
          <w:rFonts w:ascii="David" w:hAnsi="David" w:hint="cs"/>
          <w:rtl/>
        </w:rPr>
        <w:t xml:space="preserve">בסמוך לאחר תיקון 132, נעשה ניסיון להתקין את התקנות מכוח סעיף 64א1, אולם, במהלך הליך התקנת התקנות, התברר כי מבנה ההתארגנות אשר נקבע בסעיף 64א1 בעניין חברה שקופה יוצר פרצות מס שלא עלו במסגרת דיוניה של וועדת רבינוביץ, ומשכך התקנת התקנות לא צלחה. </w:t>
      </w:r>
    </w:p>
    <w:p w:rsidR="004F3312" w:rsidRDefault="00ED3F6A" w:rsidP="009337A4">
      <w:pPr>
        <w:pStyle w:val="TableBlock"/>
        <w:tabs>
          <w:tab w:val="clear" w:pos="624"/>
          <w:tab w:val="clear" w:pos="1247"/>
          <w:tab w:val="left" w:pos="425"/>
        </w:tabs>
        <w:rPr>
          <w:rtl/>
        </w:rPr>
      </w:pPr>
      <w:r>
        <w:rPr>
          <w:rFonts w:hint="cs"/>
          <w:rtl/>
        </w:rPr>
        <w:t>נוכח</w:t>
      </w:r>
      <w:r w:rsidR="004F3312">
        <w:rPr>
          <w:rtl/>
        </w:rPr>
        <w:t xml:space="preserve"> הקשיים התפעוליים הנוגעים ליישום מודל החברה השקופה וכן החשש שמנגנון החברה השקופה עלול לגרום לאבדן מס משמעותי</w:t>
      </w:r>
      <w:r w:rsidR="009337A4">
        <w:rPr>
          <w:rFonts w:hint="cs"/>
          <w:rtl/>
        </w:rPr>
        <w:t xml:space="preserve"> כתוצאה מתכנוני מס</w:t>
      </w:r>
      <w:r w:rsidR="004F3312">
        <w:rPr>
          <w:rtl/>
        </w:rPr>
        <w:t>, ההוראות לעניין חברה שקופה לא נכנסו לתוקף עד היום וכעת מוצע לבטלן</w:t>
      </w:r>
      <w:r w:rsidR="004F3312">
        <w:rPr>
          <w:rFonts w:hint="cs"/>
          <w:rtl/>
        </w:rPr>
        <w:t>.</w:t>
      </w:r>
    </w:p>
    <w:p w:rsidR="004F3312" w:rsidRDefault="004F3312" w:rsidP="004F3312">
      <w:pPr>
        <w:pStyle w:val="TableBlock"/>
        <w:tabs>
          <w:tab w:val="clear" w:pos="624"/>
          <w:tab w:val="clear" w:pos="1247"/>
          <w:tab w:val="left" w:pos="425"/>
        </w:tabs>
        <w:rPr>
          <w:rtl/>
        </w:rPr>
      </w:pPr>
      <w:r>
        <w:rPr>
          <w:rFonts w:hint="cs"/>
          <w:rtl/>
        </w:rPr>
        <w:t>להלן</w:t>
      </w:r>
      <w:r>
        <w:rPr>
          <w:rtl/>
        </w:rPr>
        <w:t xml:space="preserve"> נוסחו של סימן ה' לפרק שני בחלק ד' שמוצע לבטלו</w:t>
      </w:r>
      <w:r>
        <w:rPr>
          <w:rFonts w:hint="cs"/>
          <w:rtl/>
        </w:rPr>
        <w:t>:</w:t>
      </w:r>
    </w:p>
    <w:p w:rsidR="004F3312" w:rsidRDefault="004F3312" w:rsidP="004F3312">
      <w:pPr>
        <w:pStyle w:val="TableBlock"/>
        <w:tabs>
          <w:tab w:val="clear" w:pos="624"/>
          <w:tab w:val="clear" w:pos="1247"/>
          <w:tab w:val="left" w:pos="425"/>
        </w:tabs>
        <w:rPr>
          <w:rtl/>
        </w:rPr>
      </w:pPr>
    </w:p>
    <w:p w:rsidR="004F3312" w:rsidRDefault="004F3312" w:rsidP="004F3312">
      <w:pPr>
        <w:pStyle w:val="TableBlock"/>
        <w:tabs>
          <w:tab w:val="clear" w:pos="624"/>
          <w:tab w:val="clear" w:pos="1247"/>
          <w:tab w:val="left" w:pos="425"/>
        </w:tabs>
        <w:jc w:val="center"/>
        <w:rPr>
          <w:rtl/>
        </w:rPr>
      </w:pPr>
      <w:r>
        <w:rPr>
          <w:rFonts w:hint="cs"/>
          <w:rtl/>
        </w:rPr>
        <w:t>"</w:t>
      </w:r>
      <w:r>
        <w:rPr>
          <w:rtl/>
        </w:rPr>
        <w:t>סימן ה': חברה שקופה</w:t>
      </w:r>
    </w:p>
    <w:p w:rsidR="004F3312" w:rsidRDefault="004F3312" w:rsidP="004F3312">
      <w:pPr>
        <w:pStyle w:val="TableBlock"/>
        <w:tabs>
          <w:tab w:val="clear" w:pos="624"/>
          <w:tab w:val="clear" w:pos="1247"/>
          <w:tab w:val="left" w:pos="425"/>
        </w:tabs>
        <w:rPr>
          <w:rtl/>
        </w:rPr>
      </w:pPr>
      <w:r>
        <w:rPr>
          <w:rtl/>
        </w:rPr>
        <w:t xml:space="preserve"> </w:t>
      </w:r>
      <w:r>
        <w:rPr>
          <w:rFonts w:hint="cs"/>
          <w:rtl/>
        </w:rPr>
        <w:t>64</w:t>
      </w:r>
      <w:r>
        <w:rPr>
          <w:rtl/>
        </w:rPr>
        <w:t>א1</w:t>
      </w:r>
      <w:r>
        <w:rPr>
          <w:rFonts w:hint="cs"/>
          <w:rtl/>
        </w:rPr>
        <w:t>. (א) ב</w:t>
      </w:r>
      <w:r>
        <w:rPr>
          <w:rtl/>
        </w:rPr>
        <w:t>סעיף זה</w:t>
      </w:r>
      <w:r>
        <w:rPr>
          <w:rFonts w:hint="cs"/>
          <w:rtl/>
        </w:rPr>
        <w:t>-</w:t>
      </w:r>
    </w:p>
    <w:p w:rsidR="004F3312" w:rsidRDefault="004F3312" w:rsidP="004F3312">
      <w:pPr>
        <w:pStyle w:val="TableBlock"/>
        <w:tabs>
          <w:tab w:val="clear" w:pos="624"/>
          <w:tab w:val="clear" w:pos="1247"/>
          <w:tab w:val="left" w:pos="425"/>
        </w:tabs>
        <w:rPr>
          <w:rtl/>
        </w:rPr>
      </w:pPr>
    </w:p>
    <w:p w:rsidR="004F3312" w:rsidRDefault="004F3312" w:rsidP="004F3312">
      <w:pPr>
        <w:pStyle w:val="TableBlock"/>
        <w:tabs>
          <w:tab w:val="clear" w:pos="624"/>
          <w:tab w:val="clear" w:pos="1247"/>
          <w:tab w:val="left" w:pos="425"/>
        </w:tabs>
        <w:rPr>
          <w:rtl/>
        </w:rPr>
      </w:pPr>
      <w:r>
        <w:t>"</w:t>
      </w:r>
      <w:r>
        <w:rPr>
          <w:rtl/>
        </w:rPr>
        <w:t>בעל מניות" - חבר בחברה שקופה</w:t>
      </w:r>
      <w:r>
        <w:t>; "</w:t>
      </w:r>
    </w:p>
    <w:p w:rsidR="004F3312" w:rsidRDefault="004F3312" w:rsidP="004F3312">
      <w:pPr>
        <w:pStyle w:val="TableBlock"/>
        <w:tabs>
          <w:tab w:val="clear" w:pos="624"/>
          <w:tab w:val="clear" w:pos="1247"/>
          <w:tab w:val="left" w:pos="425"/>
        </w:tabs>
        <w:rPr>
          <w:rtl/>
        </w:rPr>
      </w:pPr>
      <w:r>
        <w:rPr>
          <w:rFonts w:hint="cs"/>
          <w:rtl/>
        </w:rPr>
        <w:t>"</w:t>
      </w:r>
      <w:r>
        <w:rPr>
          <w:rtl/>
        </w:rPr>
        <w:t>הכנסה חייבת" - לרבות שבח כמשמעותו בחוק מיסוי מקרקעין</w:t>
      </w:r>
      <w:r>
        <w:t>; "</w:t>
      </w:r>
    </w:p>
    <w:p w:rsidR="004F3312" w:rsidRDefault="004F3312" w:rsidP="004F3312">
      <w:pPr>
        <w:pStyle w:val="TableBlock"/>
        <w:tabs>
          <w:tab w:val="clear" w:pos="624"/>
          <w:tab w:val="clear" w:pos="1247"/>
          <w:tab w:val="left" w:pos="425"/>
        </w:tabs>
        <w:rPr>
          <w:rtl/>
        </w:rPr>
      </w:pPr>
      <w:r>
        <w:rPr>
          <w:rFonts w:hint="cs"/>
          <w:rtl/>
        </w:rPr>
        <w:t>"</w:t>
      </w:r>
      <w:r>
        <w:rPr>
          <w:rtl/>
        </w:rPr>
        <w:t>חברה שקופה" - חברה תושבת ישראל שהתקיימו בה כל אלה</w:t>
      </w:r>
      <w:r>
        <w:rPr>
          <w:rFonts w:hint="cs"/>
          <w:rtl/>
        </w:rPr>
        <w:t>:</w:t>
      </w:r>
    </w:p>
    <w:p w:rsidR="001639A3" w:rsidRDefault="004F3312" w:rsidP="008C12D7">
      <w:pPr>
        <w:pStyle w:val="TableBlock"/>
        <w:numPr>
          <w:ilvl w:val="0"/>
          <w:numId w:val="13"/>
        </w:numPr>
        <w:tabs>
          <w:tab w:val="clear" w:pos="624"/>
          <w:tab w:val="clear" w:pos="1247"/>
          <w:tab w:val="left" w:pos="425"/>
        </w:tabs>
      </w:pPr>
      <w:r>
        <w:rPr>
          <w:rtl/>
        </w:rPr>
        <w:t>היא אינה חברה ציבורית כהגדרתה בסעיף</w:t>
      </w:r>
      <w:r w:rsidR="008C12D7">
        <w:rPr>
          <w:rFonts w:hint="cs"/>
          <w:rtl/>
        </w:rPr>
        <w:t xml:space="preserve"> 1</w:t>
      </w:r>
      <w:r>
        <w:t xml:space="preserve"> </w:t>
      </w:r>
      <w:r>
        <w:rPr>
          <w:rtl/>
        </w:rPr>
        <w:t xml:space="preserve">לחוק החברות, ולא ניתן לפי תקנונה לשנות את </w:t>
      </w:r>
      <w:r w:rsidR="001639A3">
        <w:rPr>
          <w:rtl/>
        </w:rPr>
        <w:t>סיווגה לחברה ציבורי</w:t>
      </w:r>
      <w:r w:rsidR="001639A3">
        <w:rPr>
          <w:rFonts w:hint="cs"/>
          <w:rtl/>
        </w:rPr>
        <w:t>ת</w:t>
      </w:r>
      <w:r w:rsidR="001639A3">
        <w:t xml:space="preserve"> ;</w:t>
      </w:r>
    </w:p>
    <w:p w:rsidR="001639A3" w:rsidRDefault="004F3312" w:rsidP="001639A3">
      <w:pPr>
        <w:pStyle w:val="TableBlock"/>
        <w:numPr>
          <w:ilvl w:val="0"/>
          <w:numId w:val="13"/>
        </w:numPr>
        <w:tabs>
          <w:tab w:val="clear" w:pos="624"/>
          <w:tab w:val="clear" w:pos="1247"/>
          <w:tab w:val="left" w:pos="425"/>
        </w:tabs>
      </w:pPr>
      <w:r>
        <w:rPr>
          <w:rtl/>
        </w:rPr>
        <w:t>מספר בעלי מניותיה אינו עולה על 50,</w:t>
      </w:r>
      <w:r w:rsidR="001639A3">
        <w:rPr>
          <w:rFonts w:hint="cs"/>
          <w:rtl/>
        </w:rPr>
        <w:t xml:space="preserve"> </w:t>
      </w:r>
      <w:r>
        <w:rPr>
          <w:rtl/>
        </w:rPr>
        <w:t>או על מספר גבוה יותר אם אישר זאת המנהל, בתנאים שקבע, ולענין זה יראו בני זוג וילדיהם, יורשים של בעל מניות, או רוכשים מבעל מניות במכירה שלא מרצון, כבעל מניות אחד</w:t>
      </w:r>
      <w:r w:rsidR="001639A3">
        <w:t>;</w:t>
      </w:r>
    </w:p>
    <w:p w:rsidR="001639A3" w:rsidRDefault="004F3312" w:rsidP="001639A3">
      <w:pPr>
        <w:pStyle w:val="TableBlock"/>
        <w:numPr>
          <w:ilvl w:val="0"/>
          <w:numId w:val="13"/>
        </w:numPr>
        <w:tabs>
          <w:tab w:val="clear" w:pos="624"/>
          <w:tab w:val="clear" w:pos="1247"/>
          <w:tab w:val="left" w:pos="425"/>
        </w:tabs>
      </w:pPr>
      <w:r>
        <w:rPr>
          <w:rtl/>
        </w:rPr>
        <w:t>כל בעלי מניותיה הם יחידים תושבי ישראל</w:t>
      </w:r>
      <w:r w:rsidR="001639A3">
        <w:t>;</w:t>
      </w:r>
    </w:p>
    <w:p w:rsidR="001639A3" w:rsidRDefault="004F3312" w:rsidP="001639A3">
      <w:pPr>
        <w:pStyle w:val="TableBlock"/>
        <w:numPr>
          <w:ilvl w:val="0"/>
          <w:numId w:val="13"/>
        </w:numPr>
        <w:tabs>
          <w:tab w:val="clear" w:pos="624"/>
          <w:tab w:val="clear" w:pos="1247"/>
          <w:tab w:val="left" w:pos="425"/>
        </w:tabs>
      </w:pPr>
      <w:r>
        <w:rPr>
          <w:rtl/>
        </w:rPr>
        <w:t>מניותיה הן מאותו סוג, למעט מניות המקנות זכויות הצבעה, ואין לבעלי המניות אפשרות לשנות את הזכויות המוקנות מכוח המניות, למעט שינוי בזכויות ההצבעה</w:t>
      </w:r>
      <w:r w:rsidR="001639A3">
        <w:t>;</w:t>
      </w:r>
    </w:p>
    <w:p w:rsidR="001639A3" w:rsidRDefault="004F3312" w:rsidP="001639A3">
      <w:pPr>
        <w:pStyle w:val="TableBlock"/>
        <w:numPr>
          <w:ilvl w:val="0"/>
          <w:numId w:val="13"/>
        </w:numPr>
        <w:tabs>
          <w:tab w:val="clear" w:pos="624"/>
          <w:tab w:val="clear" w:pos="1247"/>
          <w:tab w:val="left" w:pos="425"/>
        </w:tabs>
      </w:pPr>
      <w:r>
        <w:rPr>
          <w:rtl/>
        </w:rPr>
        <w:t>הזכות לרווחי החברה מוקנית מכוח המניות בלבד</w:t>
      </w:r>
      <w:r w:rsidR="001639A3">
        <w:t>;</w:t>
      </w:r>
    </w:p>
    <w:p w:rsidR="001639A3" w:rsidRDefault="004F3312" w:rsidP="001639A3">
      <w:pPr>
        <w:pStyle w:val="TableBlock"/>
        <w:numPr>
          <w:ilvl w:val="0"/>
          <w:numId w:val="13"/>
        </w:numPr>
        <w:tabs>
          <w:tab w:val="clear" w:pos="624"/>
          <w:tab w:val="clear" w:pos="1247"/>
          <w:tab w:val="left" w:pos="425"/>
        </w:tabs>
      </w:pPr>
      <w:r>
        <w:rPr>
          <w:rtl/>
        </w:rPr>
        <w:t>זכותו של בעל מניות לרווחים זהה לזכותו לנכסי החברה בעת פירוקה</w:t>
      </w:r>
      <w:r w:rsidR="001639A3">
        <w:t>;</w:t>
      </w:r>
    </w:p>
    <w:p w:rsidR="001639A3" w:rsidRDefault="004F3312" w:rsidP="001639A3">
      <w:pPr>
        <w:pStyle w:val="TableBlock"/>
        <w:numPr>
          <w:ilvl w:val="0"/>
          <w:numId w:val="13"/>
        </w:numPr>
        <w:tabs>
          <w:tab w:val="clear" w:pos="624"/>
          <w:tab w:val="clear" w:pos="1247"/>
          <w:tab w:val="left" w:pos="425"/>
        </w:tabs>
      </w:pPr>
      <w:r>
        <w:rPr>
          <w:rtl/>
        </w:rPr>
        <w:lastRenderedPageBreak/>
        <w:t>החברה אינה מוסד כספי, כהגדרתו בחוק מס ערך מוסף</w:t>
      </w:r>
      <w:r w:rsidR="001639A3">
        <w:t>;</w:t>
      </w:r>
    </w:p>
    <w:p w:rsidR="001639A3" w:rsidRDefault="004F3312" w:rsidP="008C12D7">
      <w:pPr>
        <w:pStyle w:val="TableBlock"/>
        <w:numPr>
          <w:ilvl w:val="0"/>
          <w:numId w:val="13"/>
        </w:numPr>
        <w:tabs>
          <w:tab w:val="clear" w:pos="624"/>
          <w:tab w:val="clear" w:pos="1247"/>
          <w:tab w:val="left" w:pos="425"/>
        </w:tabs>
        <w:rPr>
          <w:rtl/>
        </w:rPr>
      </w:pPr>
      <w:r>
        <w:rPr>
          <w:rtl/>
        </w:rPr>
        <w:t>החברה ביקשה להיחשב כחברה שקופה</w:t>
      </w:r>
      <w:r w:rsidR="008C12D7">
        <w:rPr>
          <w:rFonts w:hint="cs"/>
          <w:rtl/>
        </w:rPr>
        <w:t>,</w:t>
      </w:r>
      <w:r w:rsidR="008C12D7">
        <w:t xml:space="preserve"> </w:t>
      </w:r>
      <w:r>
        <w:rPr>
          <w:rtl/>
        </w:rPr>
        <w:t>בהודעה שעליה חתמו כל בעלי מניותיה, שנמסרה לפקיד השומה בתוך 60 ימים מיום התאגדותה</w:t>
      </w:r>
      <w:r w:rsidR="001639A3">
        <w:t>;</w:t>
      </w:r>
    </w:p>
    <w:p w:rsidR="001639A3" w:rsidRDefault="004F3312" w:rsidP="001639A3">
      <w:pPr>
        <w:pStyle w:val="TableBlock"/>
        <w:tabs>
          <w:tab w:val="clear" w:pos="624"/>
          <w:tab w:val="clear" w:pos="1247"/>
          <w:tab w:val="left" w:pos="425"/>
        </w:tabs>
        <w:rPr>
          <w:rtl/>
        </w:rPr>
      </w:pPr>
      <w:r>
        <w:t>"</w:t>
      </w:r>
      <w:r>
        <w:rPr>
          <w:rtl/>
        </w:rPr>
        <w:t>שנות ההטבה" - שנות המס שבהן היתה החברה חברה שקופה</w:t>
      </w:r>
      <w:r w:rsidR="001639A3">
        <w:rPr>
          <w:rFonts w:hint="cs"/>
          <w:rtl/>
        </w:rPr>
        <w:t>.</w:t>
      </w:r>
    </w:p>
    <w:p w:rsidR="001639A3" w:rsidRDefault="001639A3" w:rsidP="001639A3">
      <w:pPr>
        <w:pStyle w:val="TableBlock"/>
        <w:tabs>
          <w:tab w:val="clear" w:pos="624"/>
          <w:tab w:val="clear" w:pos="1247"/>
          <w:tab w:val="left" w:pos="425"/>
        </w:tabs>
        <w:rPr>
          <w:rtl/>
        </w:rPr>
      </w:pPr>
      <w:r>
        <w:rPr>
          <w:rFonts w:hint="cs"/>
          <w:rtl/>
        </w:rPr>
        <w:t xml:space="preserve">(ב) </w:t>
      </w:r>
      <w:r w:rsidR="004F3312">
        <w:rPr>
          <w:rtl/>
        </w:rPr>
        <w:t>לצורך חישוב המס, שיעור המס וקיזוז ההפסדים וכן לענין פטורים ממס, תיחשב הכנסתה החייבת של חברה שקופה</w:t>
      </w:r>
      <w:r w:rsidR="004F3312">
        <w:t xml:space="preserve">, </w:t>
      </w:r>
      <w:r w:rsidR="004F3312">
        <w:rPr>
          <w:rtl/>
        </w:rPr>
        <w:t>לרבות הכנסתה מדיבידנד והפסדיה, כהכנסתם או כהפסדיהם של בעלי מניותיה, בהתאם לחלקיהם בזכויות לרווחים בחברה</w:t>
      </w:r>
      <w:r w:rsidR="004F3312">
        <w:t xml:space="preserve">, </w:t>
      </w:r>
      <w:r w:rsidR="004F3312">
        <w:rPr>
          <w:rtl/>
        </w:rPr>
        <w:t>ויחולו הוראות אלה</w:t>
      </w:r>
      <w:r>
        <w:rPr>
          <w:rFonts w:hint="cs"/>
          <w:rtl/>
        </w:rPr>
        <w:t>:</w:t>
      </w:r>
    </w:p>
    <w:p w:rsidR="001639A3" w:rsidRDefault="001639A3" w:rsidP="001639A3">
      <w:pPr>
        <w:pStyle w:val="TableBlock"/>
        <w:tabs>
          <w:tab w:val="clear" w:pos="624"/>
          <w:tab w:val="clear" w:pos="1247"/>
          <w:tab w:val="left" w:pos="425"/>
        </w:tabs>
        <w:rPr>
          <w:rtl/>
        </w:rPr>
      </w:pPr>
      <w:r>
        <w:rPr>
          <w:rFonts w:hint="cs"/>
          <w:rtl/>
        </w:rPr>
        <w:t xml:space="preserve">(1) </w:t>
      </w:r>
      <w:r w:rsidR="004F3312">
        <w:rPr>
          <w:rtl/>
        </w:rPr>
        <w:t>רווחים שחולקו מהכנסתה החייבת של החברה השקופה, לא יראו אותם כהכנסה</w:t>
      </w:r>
      <w:r>
        <w:t>;</w:t>
      </w:r>
    </w:p>
    <w:p w:rsidR="001639A3" w:rsidRDefault="001639A3" w:rsidP="001639A3">
      <w:pPr>
        <w:pStyle w:val="TableBlock"/>
        <w:tabs>
          <w:tab w:val="clear" w:pos="624"/>
          <w:tab w:val="clear" w:pos="1247"/>
          <w:tab w:val="left" w:pos="425"/>
        </w:tabs>
        <w:rPr>
          <w:rtl/>
        </w:rPr>
      </w:pPr>
      <w:r>
        <w:rPr>
          <w:rFonts w:hint="cs"/>
          <w:rtl/>
        </w:rPr>
        <w:t xml:space="preserve">(2) </w:t>
      </w:r>
      <w:r w:rsidR="004F3312">
        <w:rPr>
          <w:rtl/>
        </w:rPr>
        <w:t>לענין זה, "רווחים שחולקו" - ההכנסה החייבת</w:t>
      </w:r>
      <w:r>
        <w:t>,</w:t>
      </w:r>
      <w:r w:rsidR="004F3312">
        <w:t xml:space="preserve"> </w:t>
      </w:r>
      <w:r w:rsidR="004F3312">
        <w:rPr>
          <w:rtl/>
        </w:rPr>
        <w:t>בתוספת ההכנסה הפטורה ממס ובהפחתת המס החל על בעל המניה בשל ההכנסה, אם שולם על ידי החברה והיא לא חייבה אותו בהתאם</w:t>
      </w:r>
      <w:r>
        <w:t>;</w:t>
      </w:r>
    </w:p>
    <w:p w:rsidR="001639A3" w:rsidRDefault="001639A3" w:rsidP="001639A3">
      <w:pPr>
        <w:pStyle w:val="TableBlock"/>
        <w:tabs>
          <w:tab w:val="clear" w:pos="624"/>
          <w:tab w:val="clear" w:pos="1247"/>
          <w:tab w:val="left" w:pos="425"/>
        </w:tabs>
        <w:rPr>
          <w:rtl/>
        </w:rPr>
      </w:pPr>
      <w:r>
        <w:rPr>
          <w:rFonts w:hint="cs"/>
          <w:rtl/>
        </w:rPr>
        <w:t xml:space="preserve">(3) (א) </w:t>
      </w:r>
      <w:r w:rsidR="004F3312">
        <w:rPr>
          <w:rtl/>
        </w:rPr>
        <w:t>הפסדיה של החברה השקופה בשנת המס אשר יוחסו לבעל מניות יקוזזו תחילה כנגד הכנסותיו של בעל המניות מהחברה השקופה</w:t>
      </w:r>
      <w:r>
        <w:rPr>
          <w:rFonts w:hint="cs"/>
          <w:rtl/>
        </w:rPr>
        <w:t>,</w:t>
      </w:r>
      <w:r w:rsidR="004F3312">
        <w:t xml:space="preserve"> </w:t>
      </w:r>
      <w:r w:rsidR="004F3312">
        <w:rPr>
          <w:rtl/>
        </w:rPr>
        <w:t>בהתאם להוראות הפקודה</w:t>
      </w:r>
      <w:r>
        <w:t>;</w:t>
      </w:r>
    </w:p>
    <w:p w:rsidR="001639A3" w:rsidRPr="001639A3" w:rsidRDefault="001639A3" w:rsidP="001639A3">
      <w:pPr>
        <w:pStyle w:val="TableBlock"/>
        <w:tabs>
          <w:tab w:val="clear" w:pos="624"/>
          <w:tab w:val="clear" w:pos="1247"/>
          <w:tab w:val="left" w:pos="425"/>
        </w:tabs>
        <w:rPr>
          <w:rtl/>
        </w:rPr>
      </w:pPr>
      <w:r>
        <w:rPr>
          <w:rFonts w:hint="cs"/>
          <w:rtl/>
        </w:rPr>
        <w:t xml:space="preserve">     (ב) </w:t>
      </w:r>
      <w:r w:rsidR="004F3312">
        <w:rPr>
          <w:rtl/>
        </w:rPr>
        <w:t>הפסדים אשר יוחסו לבעל מניותיה בשנות המס הקודמות יותרו בקיזוז רק כנגד הכנסתו החייבת של אותו בעל המניות</w:t>
      </w:r>
      <w:r w:rsidR="004F3312">
        <w:t xml:space="preserve">, </w:t>
      </w:r>
      <w:r w:rsidR="004F3312">
        <w:rPr>
          <w:rtl/>
        </w:rPr>
        <w:t>ולא יותרו בקיזוז כנגד הכנסתה של החברה השקופה</w:t>
      </w:r>
      <w:r>
        <w:t>;</w:t>
      </w:r>
    </w:p>
    <w:p w:rsidR="001639A3" w:rsidRDefault="001639A3" w:rsidP="001639A3">
      <w:pPr>
        <w:pStyle w:val="TableBlock"/>
        <w:tabs>
          <w:tab w:val="clear" w:pos="624"/>
          <w:tab w:val="clear" w:pos="1247"/>
          <w:tab w:val="left" w:pos="425"/>
        </w:tabs>
        <w:rPr>
          <w:rtl/>
        </w:rPr>
      </w:pPr>
      <w:r>
        <w:rPr>
          <w:rFonts w:hint="cs"/>
          <w:rtl/>
        </w:rPr>
        <w:t xml:space="preserve">   (ג) (</w:t>
      </w:r>
      <w:r w:rsidR="004F3312">
        <w:rPr>
          <w:rtl/>
        </w:rPr>
        <w:t>נמחקה</w:t>
      </w:r>
      <w:r>
        <w:rPr>
          <w:rFonts w:hint="cs"/>
          <w:rtl/>
        </w:rPr>
        <w:t>)</w:t>
      </w:r>
      <w:r w:rsidRPr="001639A3">
        <w:t xml:space="preserve"> </w:t>
      </w:r>
      <w:r>
        <w:t>;</w:t>
      </w:r>
    </w:p>
    <w:p w:rsidR="001639A3" w:rsidRDefault="001639A3" w:rsidP="001639A3">
      <w:pPr>
        <w:pStyle w:val="TableBlock"/>
        <w:tabs>
          <w:tab w:val="clear" w:pos="624"/>
          <w:tab w:val="clear" w:pos="1247"/>
          <w:tab w:val="left" w:pos="425"/>
        </w:tabs>
        <w:rPr>
          <w:rtl/>
        </w:rPr>
      </w:pPr>
      <w:r>
        <w:rPr>
          <w:rFonts w:hint="cs"/>
          <w:rtl/>
        </w:rPr>
        <w:t xml:space="preserve">(4) </w:t>
      </w:r>
      <w:r w:rsidR="004F3312">
        <w:rPr>
          <w:rtl/>
        </w:rPr>
        <w:t>סיווגם של ההכנסה החייבת או של ההפסד</w:t>
      </w:r>
      <w:r w:rsidR="004F3312">
        <w:t xml:space="preserve">, </w:t>
      </w:r>
      <w:r w:rsidR="004F3312">
        <w:rPr>
          <w:rtl/>
        </w:rPr>
        <w:t>לפי הענין, שיוחסו לבעל מניות כאמור בסעיף זה</w:t>
      </w:r>
      <w:r w:rsidR="004F3312">
        <w:t xml:space="preserve">, </w:t>
      </w:r>
      <w:r w:rsidR="004F3312">
        <w:rPr>
          <w:rtl/>
        </w:rPr>
        <w:t>למקור הכנסה, יהיה בהתאם למקור ההכנסה שממנו הופקה או נצמחה בידי החברה השקופה, ואולם הכנסה זו לא תיחשב כהכנסה מיגיעה אישית, אלא אם כן מילא בעל המניות תפקיד פעיל בחברה</w:t>
      </w:r>
      <w:r>
        <w:t>;</w:t>
      </w:r>
    </w:p>
    <w:p w:rsidR="001639A3" w:rsidRDefault="001639A3" w:rsidP="001639A3">
      <w:pPr>
        <w:pStyle w:val="TableBlock"/>
        <w:tabs>
          <w:tab w:val="clear" w:pos="624"/>
          <w:tab w:val="clear" w:pos="1247"/>
          <w:tab w:val="left" w:pos="425"/>
        </w:tabs>
        <w:rPr>
          <w:rtl/>
        </w:rPr>
      </w:pPr>
      <w:r>
        <w:rPr>
          <w:rFonts w:hint="cs"/>
          <w:rtl/>
        </w:rPr>
        <w:t xml:space="preserve">(5) </w:t>
      </w:r>
      <w:r w:rsidR="004F3312">
        <w:rPr>
          <w:rtl/>
        </w:rPr>
        <w:t>לענין הזיכוי בשל מסי חוץ, כהגדרתם בסעיף 199 ,זכאי בעל המניות לחלקו היחסי במס החוץ ששילמה החברה השקופה</w:t>
      </w:r>
      <w:r>
        <w:t>;</w:t>
      </w:r>
      <w:r w:rsidR="004F3312">
        <w:t xml:space="preserve"> </w:t>
      </w:r>
    </w:p>
    <w:p w:rsidR="004F3312" w:rsidRDefault="001639A3" w:rsidP="001639A3">
      <w:pPr>
        <w:pStyle w:val="TableBlock"/>
        <w:tabs>
          <w:tab w:val="clear" w:pos="624"/>
          <w:tab w:val="clear" w:pos="1247"/>
          <w:tab w:val="left" w:pos="425"/>
        </w:tabs>
        <w:rPr>
          <w:rtl/>
        </w:rPr>
      </w:pPr>
      <w:r>
        <w:rPr>
          <w:rFonts w:hint="cs"/>
          <w:rtl/>
        </w:rPr>
        <w:t xml:space="preserve">(6) </w:t>
      </w:r>
      <w:r w:rsidR="004F3312">
        <w:rPr>
          <w:rtl/>
        </w:rPr>
        <w:t xml:space="preserve">לענין מקדמות של בעל מניות, כאמור בסעיף </w:t>
      </w:r>
      <w:r w:rsidR="004F3312">
        <w:t>175 ,</w:t>
      </w:r>
      <w:r w:rsidR="004F3312">
        <w:rPr>
          <w:rtl/>
        </w:rPr>
        <w:t>יצורף חלקו היחסי בהכנסתה החייבת של</w:t>
      </w:r>
    </w:p>
    <w:p w:rsidR="000C2C58" w:rsidRDefault="001639A3" w:rsidP="004F3312">
      <w:pPr>
        <w:pStyle w:val="TableBlock"/>
        <w:tabs>
          <w:tab w:val="clear" w:pos="624"/>
          <w:tab w:val="clear" w:pos="1247"/>
          <w:tab w:val="left" w:pos="425"/>
        </w:tabs>
        <w:rPr>
          <w:rtl/>
        </w:rPr>
      </w:pPr>
      <w:r>
        <w:rPr>
          <w:rtl/>
        </w:rPr>
        <w:t>החברה השקופה לרבות בהכנסתה מדיבידנד או בהפסדיה, למחזור המהווה בסיס למקדמות</w:t>
      </w:r>
      <w:r w:rsidR="000C2C58">
        <w:t>;</w:t>
      </w:r>
    </w:p>
    <w:p w:rsidR="000C2C58" w:rsidRDefault="000C2C58" w:rsidP="000C2C58">
      <w:pPr>
        <w:pStyle w:val="TableBlock"/>
        <w:tabs>
          <w:tab w:val="clear" w:pos="624"/>
          <w:tab w:val="clear" w:pos="1247"/>
          <w:tab w:val="left" w:pos="425"/>
        </w:tabs>
        <w:rPr>
          <w:rtl/>
        </w:rPr>
      </w:pPr>
      <w:r>
        <w:rPr>
          <w:rFonts w:hint="cs"/>
          <w:rtl/>
        </w:rPr>
        <w:t xml:space="preserve">(7) </w:t>
      </w:r>
      <w:r w:rsidR="001639A3">
        <w:rPr>
          <w:rtl/>
        </w:rPr>
        <w:t>ניתן לגבות את המס על הכנסת החברה השקופה, לרבות המקדמות, הן מהחברה והן מבעלי מניותיה, בגובה המס החל על חלקם היחסי ברווחיה של החברה השקופ</w:t>
      </w:r>
      <w:r>
        <w:rPr>
          <w:rFonts w:hint="cs"/>
          <w:rtl/>
        </w:rPr>
        <w:t>ה</w:t>
      </w:r>
      <w:r>
        <w:t>;</w:t>
      </w:r>
    </w:p>
    <w:p w:rsidR="000C2C58" w:rsidRDefault="000C2C58" w:rsidP="000C2C58">
      <w:pPr>
        <w:pStyle w:val="TableBlock"/>
        <w:tabs>
          <w:tab w:val="clear" w:pos="624"/>
          <w:tab w:val="clear" w:pos="1247"/>
          <w:tab w:val="left" w:pos="425"/>
        </w:tabs>
        <w:rPr>
          <w:rtl/>
        </w:rPr>
      </w:pPr>
      <w:r>
        <w:rPr>
          <w:rFonts w:hint="cs"/>
          <w:rtl/>
        </w:rPr>
        <w:t xml:space="preserve">(8) </w:t>
      </w:r>
      <w:r w:rsidR="001639A3">
        <w:rPr>
          <w:rtl/>
        </w:rPr>
        <w:t>במכירת מניה של חברה שקופה, יחולו הוראות אלה</w:t>
      </w:r>
      <w:r w:rsidR="001639A3">
        <w:t xml:space="preserve">: </w:t>
      </w:r>
    </w:p>
    <w:p w:rsidR="000C2C58" w:rsidRDefault="000C2C58" w:rsidP="000C2C58">
      <w:pPr>
        <w:pStyle w:val="TableBlock"/>
        <w:tabs>
          <w:tab w:val="clear" w:pos="624"/>
          <w:tab w:val="clear" w:pos="1247"/>
          <w:tab w:val="left" w:pos="425"/>
        </w:tabs>
        <w:rPr>
          <w:rtl/>
        </w:rPr>
      </w:pPr>
      <w:r>
        <w:rPr>
          <w:rFonts w:hint="cs"/>
          <w:rtl/>
        </w:rPr>
        <w:t xml:space="preserve">(א) </w:t>
      </w:r>
      <w:r w:rsidR="001639A3">
        <w:rPr>
          <w:rtl/>
        </w:rPr>
        <w:t>לעניין סעיף 88 ,יופחת מהתמורה לגבי המוכר ומהמחיר המקורי לגבי הרוכש, סכום השווה לחלק מסכום הרווחים שהצטברו בחברה בשנות ההטבה ולא חולקו, שיחסו לכלל הרווחים שלא חולקו הוא כיחס חלקה של המניה, בזכויות לרווחי החברה השקופה לכלל הזכויות לרווחיה; לעניין זה</w:t>
      </w:r>
      <w:r>
        <w:rPr>
          <w:rFonts w:hint="cs"/>
          <w:rtl/>
        </w:rPr>
        <w:t xml:space="preserve"> </w:t>
      </w:r>
      <w:r>
        <w:rPr>
          <w:rtl/>
        </w:rPr>
        <w:t>–</w:t>
      </w:r>
      <w:r>
        <w:rPr>
          <w:rFonts w:hint="cs"/>
          <w:rtl/>
        </w:rPr>
        <w:t xml:space="preserve"> </w:t>
      </w:r>
    </w:p>
    <w:p w:rsidR="000C2C58" w:rsidRDefault="000C2C58" w:rsidP="000C2C58">
      <w:pPr>
        <w:pStyle w:val="TableBlock"/>
        <w:tabs>
          <w:tab w:val="clear" w:pos="624"/>
          <w:tab w:val="clear" w:pos="1247"/>
          <w:tab w:val="left" w:pos="425"/>
        </w:tabs>
        <w:rPr>
          <w:rtl/>
        </w:rPr>
      </w:pPr>
      <w:r>
        <w:rPr>
          <w:rFonts w:hint="cs"/>
          <w:rtl/>
        </w:rPr>
        <w:t xml:space="preserve">"רווחים" - </w:t>
      </w:r>
      <w:r w:rsidR="001639A3">
        <w:rPr>
          <w:rtl/>
        </w:rPr>
        <w:t>הכנסתה החייבת של החברה השקופה בשנות ההטבה, בניכוי ההפסדים שהיו לה באותן שנים, ובלבד שהתוצאה המתקבלת לא תהיה בסכום שלילי</w:t>
      </w:r>
      <w:r w:rsidR="001639A3">
        <w:t xml:space="preserve">; </w:t>
      </w:r>
    </w:p>
    <w:p w:rsidR="000C2C58" w:rsidRDefault="000C2C58" w:rsidP="000C2C58">
      <w:pPr>
        <w:pStyle w:val="TableBlock"/>
        <w:tabs>
          <w:tab w:val="clear" w:pos="624"/>
          <w:tab w:val="clear" w:pos="1247"/>
          <w:tab w:val="left" w:pos="425"/>
        </w:tabs>
        <w:rPr>
          <w:rtl/>
        </w:rPr>
      </w:pPr>
      <w:r>
        <w:rPr>
          <w:rFonts w:hint="cs"/>
          <w:rtl/>
        </w:rPr>
        <w:t xml:space="preserve">"רוכש" - </w:t>
      </w:r>
      <w:r w:rsidR="001639A3">
        <w:rPr>
          <w:rtl/>
        </w:rPr>
        <w:t>לרבות מי שרכש מניות מהחברה השקופה</w:t>
      </w:r>
      <w:r w:rsidR="001639A3">
        <w:t xml:space="preserve">; </w:t>
      </w:r>
    </w:p>
    <w:p w:rsidR="000C2C58" w:rsidRDefault="000C2C58" w:rsidP="000C2C58">
      <w:pPr>
        <w:pStyle w:val="TableBlock"/>
        <w:tabs>
          <w:tab w:val="clear" w:pos="624"/>
          <w:tab w:val="clear" w:pos="1247"/>
          <w:tab w:val="left" w:pos="425"/>
        </w:tabs>
        <w:rPr>
          <w:rtl/>
        </w:rPr>
      </w:pPr>
      <w:r>
        <w:rPr>
          <w:rFonts w:hint="cs"/>
          <w:rtl/>
        </w:rPr>
        <w:t xml:space="preserve">(ב) </w:t>
      </w:r>
      <w:r w:rsidR="001639A3">
        <w:rPr>
          <w:rtl/>
        </w:rPr>
        <w:t>לא יחולו הוראות סעיף 94ב בשל שנות ההטבה</w:t>
      </w:r>
      <w:r>
        <w:t>;</w:t>
      </w:r>
    </w:p>
    <w:p w:rsidR="000C2C58" w:rsidRDefault="000C2C58" w:rsidP="000C2C58">
      <w:pPr>
        <w:pStyle w:val="TableBlock"/>
        <w:tabs>
          <w:tab w:val="clear" w:pos="624"/>
          <w:tab w:val="clear" w:pos="1247"/>
          <w:tab w:val="left" w:pos="425"/>
        </w:tabs>
        <w:rPr>
          <w:rtl/>
        </w:rPr>
      </w:pPr>
      <w:r>
        <w:rPr>
          <w:rFonts w:hint="cs"/>
          <w:rtl/>
        </w:rPr>
        <w:t xml:space="preserve">(ג) </w:t>
      </w:r>
      <w:r w:rsidR="001639A3">
        <w:rPr>
          <w:rtl/>
        </w:rPr>
        <w:t>לענין חישוב רווח ההון, יופחת מהמחיר המקורי המתואם סכום בגובה ההפסדים שיוחסו למוכר המניה בשנות ההטבה, עד גובה המחיר המקורי המתואם; לענין זה, "הפסדים" - סכום השווה להכנסה החייבת שיוחסה לבעל המניות, בניכוי ההפסדים שיוחסו לו, ובלבד שהוא סכום שלילי</w:t>
      </w:r>
      <w:r>
        <w:t>;</w:t>
      </w:r>
    </w:p>
    <w:p w:rsidR="000C2C58" w:rsidRDefault="000C2C58" w:rsidP="000C2C58">
      <w:pPr>
        <w:pStyle w:val="TableBlock"/>
        <w:tabs>
          <w:tab w:val="clear" w:pos="624"/>
          <w:tab w:val="clear" w:pos="1247"/>
          <w:tab w:val="left" w:pos="425"/>
        </w:tabs>
        <w:rPr>
          <w:rtl/>
        </w:rPr>
      </w:pPr>
      <w:r>
        <w:rPr>
          <w:rFonts w:hint="cs"/>
          <w:rtl/>
        </w:rPr>
        <w:t xml:space="preserve">(9) </w:t>
      </w:r>
      <w:r w:rsidR="001639A3">
        <w:rPr>
          <w:rtl/>
        </w:rPr>
        <w:t xml:space="preserve">בעל מניות שמכר מניות בחברה שקופה יודיע לחברה השקופה, על המכירה בתוך 90 ימים מיום </w:t>
      </w:r>
      <w:r>
        <w:rPr>
          <w:rtl/>
        </w:rPr>
        <w:t>המכיר</w:t>
      </w:r>
      <w:r>
        <w:rPr>
          <w:rFonts w:hint="cs"/>
          <w:rtl/>
        </w:rPr>
        <w:t>ה</w:t>
      </w:r>
      <w:r>
        <w:t>;</w:t>
      </w:r>
    </w:p>
    <w:p w:rsidR="000C2C58" w:rsidRDefault="000C2C58" w:rsidP="000C2C58">
      <w:pPr>
        <w:pStyle w:val="TableBlock"/>
        <w:tabs>
          <w:tab w:val="clear" w:pos="624"/>
          <w:tab w:val="clear" w:pos="1247"/>
          <w:tab w:val="left" w:pos="425"/>
        </w:tabs>
        <w:rPr>
          <w:rtl/>
        </w:rPr>
      </w:pPr>
      <w:r>
        <w:rPr>
          <w:rFonts w:hint="cs"/>
          <w:rtl/>
        </w:rPr>
        <w:t xml:space="preserve">(10) </w:t>
      </w:r>
      <w:r w:rsidR="001639A3">
        <w:rPr>
          <w:rtl/>
        </w:rPr>
        <w:t>הוראות חלק ה2 למעט פרק שלישי שבו, לא יחולו על חברה שקופה</w:t>
      </w:r>
      <w:r>
        <w:t>;</w:t>
      </w:r>
    </w:p>
    <w:p w:rsidR="00B61518" w:rsidRDefault="000C2C58" w:rsidP="00B61518">
      <w:pPr>
        <w:pStyle w:val="TableBlock"/>
        <w:tabs>
          <w:tab w:val="clear" w:pos="624"/>
          <w:tab w:val="clear" w:pos="1247"/>
          <w:tab w:val="left" w:pos="425"/>
        </w:tabs>
      </w:pPr>
      <w:r>
        <w:rPr>
          <w:rFonts w:hint="cs"/>
          <w:rtl/>
        </w:rPr>
        <w:lastRenderedPageBreak/>
        <w:t xml:space="preserve">(11) (א) </w:t>
      </w:r>
      <w:r w:rsidR="001639A3">
        <w:rPr>
          <w:rtl/>
        </w:rPr>
        <w:t xml:space="preserve">העברת נכסים מחברה שקופה שהוחל בפירוקה לבעלי מניותיה, בהתאם לשיעור זכויותיהם בה, לא תחויב במס לפי פקודה זו או לפי חוק מיסוי מקרקעין </w:t>
      </w:r>
      <w:r w:rsidR="00B61518">
        <w:rPr>
          <w:rFonts w:hint="cs"/>
          <w:rtl/>
        </w:rPr>
        <w:t>(</w:t>
      </w:r>
      <w:r w:rsidR="001639A3">
        <w:rPr>
          <w:rtl/>
        </w:rPr>
        <w:t>בפסקה זו</w:t>
      </w:r>
      <w:r w:rsidR="001639A3">
        <w:t xml:space="preserve"> </w:t>
      </w:r>
      <w:r w:rsidR="00B61518">
        <w:t>–</w:t>
      </w:r>
      <w:r w:rsidR="001639A3">
        <w:t xml:space="preserve"> </w:t>
      </w:r>
      <w:r w:rsidR="001639A3">
        <w:rPr>
          <w:rtl/>
        </w:rPr>
        <w:t>המסים</w:t>
      </w:r>
      <w:r w:rsidR="00B61518">
        <w:rPr>
          <w:rFonts w:hint="cs"/>
          <w:rtl/>
        </w:rPr>
        <w:t>)</w:t>
      </w:r>
      <w:r w:rsidR="001639A3">
        <w:rPr>
          <w:rtl/>
        </w:rPr>
        <w:t xml:space="preserve">, ובלבד שהנכס המועבר לא שינה את ייעודו אגב ההעברה, כאמור בסעיפים </w:t>
      </w:r>
      <w:r w:rsidR="001639A3">
        <w:t xml:space="preserve">85 </w:t>
      </w:r>
      <w:r w:rsidR="001639A3">
        <w:rPr>
          <w:rtl/>
        </w:rPr>
        <w:t>ו–100 ובסעיף 5ב לחוק מיסוי מקרקעין</w:t>
      </w:r>
      <w:r w:rsidR="001639A3">
        <w:t xml:space="preserve">; </w:t>
      </w:r>
      <w:r w:rsidR="001639A3">
        <w:rPr>
          <w:rtl/>
        </w:rPr>
        <w:t>ואולם מקום שבו לא מתחייבת המכירה במס שבח בשל האמור בפסקה זו, תתחייב המכירה במס רכישה בשיעור של %5.0 ;שר האוצר</w:t>
      </w:r>
      <w:r w:rsidR="001639A3">
        <w:t xml:space="preserve">, </w:t>
      </w:r>
      <w:r w:rsidR="001639A3">
        <w:rPr>
          <w:rtl/>
        </w:rPr>
        <w:t>באישור ועדת הכספים של הכנסת, רשאי לקבוע מקרים שבהם לא יחול פטור מהמסים לפי פסקת משנה זו בפירוק החברה, בתנאים שיקבע; לענין זה, "מס שבח" ו"מס רכישה</w:t>
      </w:r>
      <w:r w:rsidR="001639A3">
        <w:t xml:space="preserve">" - </w:t>
      </w:r>
      <w:r w:rsidR="001639A3">
        <w:rPr>
          <w:rtl/>
        </w:rPr>
        <w:t>כמשמעותם בחוק מיסוי מקרקעין</w:t>
      </w:r>
      <w:r w:rsidR="001639A3">
        <w:t>;</w:t>
      </w:r>
    </w:p>
    <w:p w:rsidR="00B61518" w:rsidRDefault="00B61518" w:rsidP="00B61518">
      <w:pPr>
        <w:pStyle w:val="TableBlock"/>
        <w:tabs>
          <w:tab w:val="clear" w:pos="624"/>
          <w:tab w:val="clear" w:pos="1247"/>
          <w:tab w:val="left" w:pos="425"/>
        </w:tabs>
        <w:rPr>
          <w:rtl/>
        </w:rPr>
      </w:pPr>
      <w:r>
        <w:rPr>
          <w:rFonts w:hint="cs"/>
          <w:rtl/>
        </w:rPr>
        <w:t xml:space="preserve">(ב) </w:t>
      </w:r>
      <w:r w:rsidR="001639A3">
        <w:rPr>
          <w:rtl/>
        </w:rPr>
        <w:t xml:space="preserve"> שר האוצר, באישור ועדת הכספים של הכנסת, רשאי לקבוע תנאים, הוראות ומגבלות לענין פסקה זו, לרבות לענין קביעת המחיר המקורי של נכסי החברה השקופה המתפרקת</w:t>
      </w:r>
      <w:r w:rsidR="001639A3">
        <w:t xml:space="preserve">, </w:t>
      </w:r>
      <w:r w:rsidR="001639A3">
        <w:rPr>
          <w:rtl/>
        </w:rPr>
        <w:t>יום הרכישה ושווי הרכישה כהגדרתם בחוק מיסוי מקרקעין, וכן הוראות לענין הפסדים וחלוקת הכנסות וכן מקרים שבהם תחויב במס עליית ערך של נכסים</w:t>
      </w:r>
      <w:r>
        <w:rPr>
          <w:rFonts w:hint="cs"/>
          <w:rtl/>
        </w:rPr>
        <w:t>.</w:t>
      </w:r>
    </w:p>
    <w:p w:rsidR="00B61518" w:rsidRDefault="00B61518" w:rsidP="00B61518">
      <w:pPr>
        <w:pStyle w:val="TableBlock"/>
        <w:tabs>
          <w:tab w:val="clear" w:pos="624"/>
          <w:tab w:val="clear" w:pos="1247"/>
          <w:tab w:val="left" w:pos="425"/>
        </w:tabs>
        <w:rPr>
          <w:rtl/>
        </w:rPr>
      </w:pPr>
      <w:r>
        <w:rPr>
          <w:rFonts w:hint="cs"/>
          <w:rtl/>
        </w:rPr>
        <w:t xml:space="preserve">(ג) (1) </w:t>
      </w:r>
      <w:r w:rsidR="001639A3">
        <w:rPr>
          <w:rtl/>
        </w:rPr>
        <w:t>שר אוצר, באישור ועדת הכספים של הכנסת, רשאי לקבוע כללים לענין חברה שקופה שהפסיקה למלא אחר התנאים וההוראות הקבועים בסעיף זה, ובכלל זה לקבוע כי החברה תחדל להיות חברה שקופה; קבע כאמור, לא תוכל לחזור ולהיחשב כחברה שקופה</w:t>
      </w:r>
      <w:r>
        <w:rPr>
          <w:rFonts w:hint="cs"/>
          <w:rtl/>
        </w:rPr>
        <w:t>.</w:t>
      </w:r>
    </w:p>
    <w:p w:rsidR="00B61518" w:rsidRDefault="00B61518" w:rsidP="00B61518">
      <w:pPr>
        <w:pStyle w:val="TableBlock"/>
        <w:tabs>
          <w:tab w:val="clear" w:pos="624"/>
          <w:tab w:val="clear" w:pos="1247"/>
          <w:tab w:val="left" w:pos="425"/>
        </w:tabs>
      </w:pPr>
      <w:r>
        <w:rPr>
          <w:rFonts w:hint="cs"/>
          <w:rtl/>
        </w:rPr>
        <w:t xml:space="preserve"> (2) </w:t>
      </w:r>
      <w:r w:rsidR="001639A3">
        <w:rPr>
          <w:rtl/>
        </w:rPr>
        <w:t>חברה שחדלה להיות שקופה</w:t>
      </w:r>
      <w:r w:rsidR="001639A3">
        <w:t xml:space="preserve">, </w:t>
      </w:r>
      <w:r w:rsidR="001639A3">
        <w:rPr>
          <w:rtl/>
        </w:rPr>
        <w:t xml:space="preserve">כתוצאה מהפרת הוראה מהוראות סעיף זה, רשאית, באישור המנהל ובתנאים שקבע, לבקש להתפרק, בהתאם </w:t>
      </w:r>
      <w:r>
        <w:rPr>
          <w:rtl/>
        </w:rPr>
        <w:t xml:space="preserve">להוראות סעיף קטן </w:t>
      </w:r>
      <w:r>
        <w:rPr>
          <w:rFonts w:hint="cs"/>
          <w:rtl/>
        </w:rPr>
        <w:t>(ב)(11)</w:t>
      </w:r>
      <w:r>
        <w:rPr>
          <w:rtl/>
        </w:rPr>
        <w:t xml:space="preserve"> </w:t>
      </w:r>
      <w:r w:rsidR="001639A3">
        <w:rPr>
          <w:rtl/>
        </w:rPr>
        <w:t>בתוך שנה מתום שנת המס שבה בוצעה הפרה כאמור; לענין זה, יראו את יום ההפרה כיום שבו החלו הליכי הפירוק</w:t>
      </w:r>
      <w:r w:rsidR="001639A3">
        <w:t xml:space="preserve">. </w:t>
      </w:r>
    </w:p>
    <w:p w:rsidR="00B61518" w:rsidRDefault="001639A3" w:rsidP="00B61518">
      <w:pPr>
        <w:pStyle w:val="TableBlock"/>
        <w:tabs>
          <w:tab w:val="clear" w:pos="624"/>
          <w:tab w:val="clear" w:pos="1247"/>
          <w:tab w:val="left" w:pos="425"/>
        </w:tabs>
        <w:rPr>
          <w:rtl/>
        </w:rPr>
      </w:pPr>
      <w:r>
        <w:t>)</w:t>
      </w:r>
      <w:r w:rsidR="00B61518">
        <w:rPr>
          <w:rFonts w:hint="cs"/>
          <w:rtl/>
        </w:rPr>
        <w:t>ד)</w:t>
      </w:r>
      <w:r>
        <w:rPr>
          <w:rtl/>
        </w:rPr>
        <w:t xml:space="preserve"> על אף הוראות פקודה זו, יחולו לענין שומה, השגה וערעור, הוראות אלה</w:t>
      </w:r>
      <w:r w:rsidR="00B61518">
        <w:rPr>
          <w:rFonts w:hint="cs"/>
          <w:rtl/>
        </w:rPr>
        <w:t>:</w:t>
      </w:r>
    </w:p>
    <w:p w:rsidR="00B61518" w:rsidRDefault="001639A3" w:rsidP="00B61518">
      <w:pPr>
        <w:pStyle w:val="TableBlock"/>
        <w:numPr>
          <w:ilvl w:val="0"/>
          <w:numId w:val="14"/>
        </w:numPr>
        <w:tabs>
          <w:tab w:val="clear" w:pos="624"/>
          <w:tab w:val="clear" w:pos="1247"/>
          <w:tab w:val="left" w:pos="425"/>
        </w:tabs>
      </w:pPr>
      <w:r>
        <w:rPr>
          <w:rtl/>
        </w:rPr>
        <w:t>נקבעה לחברה השקופה שומה</w:t>
      </w:r>
      <w:r>
        <w:t xml:space="preserve">, </w:t>
      </w:r>
      <w:r>
        <w:rPr>
          <w:rtl/>
        </w:rPr>
        <w:t>רשאי פקיד השומה, על אף הוראות פקודה זו, לקבוע את שומתו של בעל המניות או לתקנה, בהתאם, בתוך שנתיים מתום שנת המס שבה נקבעה שומת החברה או במועד שבו רשאי הוא לשום את הכנסתו של בעל המניות, לפי המאוחר</w:t>
      </w:r>
      <w:r w:rsidR="00B61518">
        <w:rPr>
          <w:rFonts w:hint="cs"/>
          <w:rtl/>
        </w:rPr>
        <w:t>.</w:t>
      </w:r>
    </w:p>
    <w:p w:rsidR="00B61518" w:rsidRDefault="001639A3" w:rsidP="00B61518">
      <w:pPr>
        <w:pStyle w:val="TableBlock"/>
        <w:numPr>
          <w:ilvl w:val="0"/>
          <w:numId w:val="14"/>
        </w:numPr>
        <w:tabs>
          <w:tab w:val="clear" w:pos="624"/>
          <w:tab w:val="clear" w:pos="1247"/>
          <w:tab w:val="left" w:pos="425"/>
        </w:tabs>
        <w:rPr>
          <w:rtl/>
        </w:rPr>
      </w:pPr>
      <w:r>
        <w:rPr>
          <w:rtl/>
        </w:rPr>
        <w:t>החברה השקופה רשאית להשיג או לערער על השומה שנקבעה לה בהתאם להוראות סעיף 150 או 153 ,לפי הענין</w:t>
      </w:r>
      <w:r>
        <w:t xml:space="preserve">; </w:t>
      </w:r>
      <w:r>
        <w:rPr>
          <w:rtl/>
        </w:rPr>
        <w:t>בעל המניות רשאי להשיג או לערער כאמור על ייחוס הכנסתה החייבת או הפסדיה של החברה השקופה, ועל השפעת השומה שנקבעה לחברה השקופה על הכנסתו, אך</w:t>
      </w:r>
      <w:r w:rsidR="00B61518">
        <w:rPr>
          <w:rFonts w:hint="cs"/>
          <w:rtl/>
        </w:rPr>
        <w:t xml:space="preserve"> לא על השומה שנקבעה לחברה.</w:t>
      </w:r>
    </w:p>
    <w:p w:rsidR="00B61518" w:rsidRDefault="00B61518" w:rsidP="00B61518">
      <w:pPr>
        <w:pStyle w:val="TableBlock"/>
        <w:tabs>
          <w:tab w:val="clear" w:pos="624"/>
          <w:tab w:val="clear" w:pos="1247"/>
          <w:tab w:val="left" w:pos="425"/>
        </w:tabs>
        <w:rPr>
          <w:rtl/>
        </w:rPr>
      </w:pPr>
      <w:r>
        <w:t>)</w:t>
      </w:r>
      <w:r>
        <w:rPr>
          <w:rFonts w:hint="cs"/>
          <w:rtl/>
        </w:rPr>
        <w:t>ה)</w:t>
      </w:r>
      <w:r>
        <w:rPr>
          <w:rtl/>
        </w:rPr>
        <w:t xml:space="preserve"> שר האוצר, באישור ועדת הכספים של הכנסת, רשאי לקבוע כללים, הוראות, תנאים ומגבלות לענין סעיף זה, ובכלל זה</w:t>
      </w:r>
      <w:r>
        <w:rPr>
          <w:rFonts w:hint="cs"/>
          <w:rtl/>
        </w:rPr>
        <w:t xml:space="preserve"> - </w:t>
      </w:r>
    </w:p>
    <w:p w:rsidR="00B61518" w:rsidRDefault="00B61518" w:rsidP="00B61518">
      <w:pPr>
        <w:pStyle w:val="TableBlock"/>
        <w:numPr>
          <w:ilvl w:val="0"/>
          <w:numId w:val="15"/>
        </w:numPr>
        <w:tabs>
          <w:tab w:val="clear" w:pos="624"/>
          <w:tab w:val="clear" w:pos="1247"/>
          <w:tab w:val="left" w:pos="425"/>
        </w:tabs>
      </w:pPr>
      <w:r>
        <w:rPr>
          <w:rtl/>
        </w:rPr>
        <w:t>קביעת מחיר מקורי</w:t>
      </w:r>
      <w:r>
        <w:t>;</w:t>
      </w:r>
    </w:p>
    <w:p w:rsidR="00B61518" w:rsidRDefault="00B61518" w:rsidP="00B61518">
      <w:pPr>
        <w:pStyle w:val="TableBlock"/>
        <w:numPr>
          <w:ilvl w:val="0"/>
          <w:numId w:val="15"/>
        </w:numPr>
        <w:tabs>
          <w:tab w:val="clear" w:pos="624"/>
          <w:tab w:val="clear" w:pos="1247"/>
          <w:tab w:val="left" w:pos="425"/>
        </w:tabs>
      </w:pPr>
      <w:r>
        <w:rPr>
          <w:rtl/>
        </w:rPr>
        <w:t>תמורה</w:t>
      </w:r>
      <w:r>
        <w:t>;</w:t>
      </w:r>
    </w:p>
    <w:p w:rsidR="00B61518" w:rsidRDefault="00B61518" w:rsidP="00B61518">
      <w:pPr>
        <w:pStyle w:val="TableBlock"/>
        <w:numPr>
          <w:ilvl w:val="0"/>
          <w:numId w:val="15"/>
        </w:numPr>
        <w:tabs>
          <w:tab w:val="clear" w:pos="624"/>
          <w:tab w:val="clear" w:pos="1247"/>
          <w:tab w:val="left" w:pos="425"/>
        </w:tabs>
      </w:pPr>
      <w:r>
        <w:rPr>
          <w:rtl/>
        </w:rPr>
        <w:t>הליכי שומה</w:t>
      </w:r>
      <w:r>
        <w:t>;</w:t>
      </w:r>
    </w:p>
    <w:p w:rsidR="00B61518" w:rsidRDefault="00B61518" w:rsidP="00B61518">
      <w:pPr>
        <w:pStyle w:val="TableBlock"/>
        <w:numPr>
          <w:ilvl w:val="0"/>
          <w:numId w:val="15"/>
        </w:numPr>
        <w:tabs>
          <w:tab w:val="clear" w:pos="624"/>
          <w:tab w:val="clear" w:pos="1247"/>
          <w:tab w:val="left" w:pos="425"/>
        </w:tabs>
      </w:pPr>
      <w:r>
        <w:rPr>
          <w:rtl/>
        </w:rPr>
        <w:t>זכות ערעור והליכי ערעור</w:t>
      </w:r>
      <w:r>
        <w:t>;</w:t>
      </w:r>
    </w:p>
    <w:p w:rsidR="00B61518" w:rsidRDefault="00B61518" w:rsidP="00B61518">
      <w:pPr>
        <w:pStyle w:val="TableBlock"/>
        <w:numPr>
          <w:ilvl w:val="0"/>
          <w:numId w:val="15"/>
        </w:numPr>
        <w:tabs>
          <w:tab w:val="clear" w:pos="624"/>
          <w:tab w:val="clear" w:pos="1247"/>
          <w:tab w:val="left" w:pos="425"/>
        </w:tabs>
      </w:pPr>
      <w:r>
        <w:rPr>
          <w:rtl/>
        </w:rPr>
        <w:t>קביעת מקדמה לחברה, על אף הוראות סעיף קטן</w:t>
      </w:r>
      <w:r>
        <w:rPr>
          <w:rFonts w:hint="cs"/>
          <w:rtl/>
        </w:rPr>
        <w:t xml:space="preserve"> (ב)(6), </w:t>
      </w:r>
      <w:r>
        <w:rPr>
          <w:rtl/>
        </w:rPr>
        <w:t>לפי בסיס המקדמות המחושב של החברה</w:t>
      </w:r>
      <w:r>
        <w:t xml:space="preserve">, </w:t>
      </w:r>
      <w:r>
        <w:rPr>
          <w:rtl/>
        </w:rPr>
        <w:t>בשיעור שיקבע, כללים לייחוס מקדמה כאמור לבעלי המניות, וכללים לקיזוז מקדמה בשל הוצאות עודפות כאמור בסעיף 181ב</w:t>
      </w:r>
      <w:r>
        <w:t>;</w:t>
      </w:r>
    </w:p>
    <w:p w:rsidR="00B61518" w:rsidRDefault="00B61518" w:rsidP="00B61518">
      <w:pPr>
        <w:pStyle w:val="TableBlock"/>
        <w:numPr>
          <w:ilvl w:val="0"/>
          <w:numId w:val="15"/>
        </w:numPr>
        <w:tabs>
          <w:tab w:val="clear" w:pos="624"/>
          <w:tab w:val="clear" w:pos="1247"/>
          <w:tab w:val="left" w:pos="425"/>
        </w:tabs>
      </w:pPr>
      <w:r>
        <w:rPr>
          <w:rtl/>
        </w:rPr>
        <w:t>ייחוסה של ההכנסה וחלוקתה בהתאם לזכות לרווחים, וכללים לעיגול חלקם היחסי של בעלי המניות בזכויות לרווחים</w:t>
      </w:r>
      <w:r>
        <w:t>;</w:t>
      </w:r>
    </w:p>
    <w:p w:rsidR="00B61518" w:rsidRDefault="00B61518" w:rsidP="00B61518">
      <w:pPr>
        <w:pStyle w:val="TableBlock"/>
        <w:numPr>
          <w:ilvl w:val="0"/>
          <w:numId w:val="15"/>
        </w:numPr>
        <w:tabs>
          <w:tab w:val="clear" w:pos="624"/>
          <w:tab w:val="clear" w:pos="1247"/>
          <w:tab w:val="left" w:pos="425"/>
        </w:tabs>
      </w:pPr>
      <w:r>
        <w:rPr>
          <w:rtl/>
        </w:rPr>
        <w:t>חבות ותשלום המס בנסיבות שבהן נמכרות מניות החברה במהלך השנה</w:t>
      </w:r>
      <w:r>
        <w:t>;</w:t>
      </w:r>
    </w:p>
    <w:p w:rsidR="00B61518" w:rsidRDefault="00B61518" w:rsidP="00B61518">
      <w:pPr>
        <w:pStyle w:val="TableBlock"/>
        <w:numPr>
          <w:ilvl w:val="0"/>
          <w:numId w:val="15"/>
        </w:numPr>
        <w:tabs>
          <w:tab w:val="clear" w:pos="624"/>
          <w:tab w:val="clear" w:pos="1247"/>
          <w:tab w:val="left" w:pos="425"/>
        </w:tabs>
      </w:pPr>
      <w:r>
        <w:rPr>
          <w:rtl/>
        </w:rPr>
        <w:t>דוחות שיגישו החברה השקופה ובעלי מניותיה</w:t>
      </w:r>
      <w:r>
        <w:t>;</w:t>
      </w:r>
    </w:p>
    <w:p w:rsidR="00385EB4" w:rsidRDefault="00B61518" w:rsidP="00385EB4">
      <w:pPr>
        <w:pStyle w:val="TableBlock"/>
        <w:numPr>
          <w:ilvl w:val="0"/>
          <w:numId w:val="15"/>
        </w:numPr>
        <w:tabs>
          <w:tab w:val="clear" w:pos="624"/>
          <w:tab w:val="clear" w:pos="1247"/>
          <w:tab w:val="left" w:pos="425"/>
        </w:tabs>
      </w:pPr>
      <w:r>
        <w:rPr>
          <w:rtl/>
        </w:rPr>
        <w:t>הוראות בדבר הגבלת קיזוז הפסדים</w:t>
      </w:r>
      <w:r>
        <w:t xml:space="preserve"> </w:t>
      </w:r>
      <w:r w:rsidR="00385EB4">
        <w:t>;</w:t>
      </w:r>
    </w:p>
    <w:p w:rsidR="00AB46BD" w:rsidRDefault="00B61518" w:rsidP="00C90EA8">
      <w:pPr>
        <w:pStyle w:val="TableBlock"/>
        <w:numPr>
          <w:ilvl w:val="0"/>
          <w:numId w:val="15"/>
        </w:numPr>
        <w:tabs>
          <w:tab w:val="clear" w:pos="624"/>
          <w:tab w:val="clear" w:pos="1247"/>
          <w:tab w:val="left" w:pos="425"/>
        </w:tabs>
        <w:rPr>
          <w:rtl/>
        </w:rPr>
      </w:pPr>
      <w:r>
        <w:rPr>
          <w:rtl/>
        </w:rPr>
        <w:t xml:space="preserve">הוראות לענין בעל תפקיד פעיל בחברה, כאמור בסעיף קטן </w:t>
      </w:r>
      <w:r w:rsidR="00385EB4">
        <w:rPr>
          <w:rFonts w:hint="cs"/>
          <w:rtl/>
        </w:rPr>
        <w:t>(ב)(4)."</w:t>
      </w:r>
    </w:p>
    <w:p w:rsidR="009828AC" w:rsidRDefault="009828AC" w:rsidP="00167B1C">
      <w:pPr>
        <w:pStyle w:val="TableBlock"/>
        <w:rPr>
          <w:rtl/>
        </w:rPr>
      </w:pPr>
    </w:p>
    <w:p w:rsidR="00AB46BD" w:rsidRDefault="00AB46BD" w:rsidP="00AB46BD">
      <w:pPr>
        <w:pStyle w:val="TableBlock"/>
        <w:numPr>
          <w:ilvl w:val="0"/>
          <w:numId w:val="11"/>
        </w:numPr>
        <w:tabs>
          <w:tab w:val="clear" w:pos="624"/>
          <w:tab w:val="clear" w:pos="720"/>
          <w:tab w:val="clear" w:pos="1247"/>
        </w:tabs>
        <w:ind w:left="425" w:hanging="425"/>
        <w:rPr>
          <w:b/>
          <w:bCs/>
          <w:u w:val="single"/>
        </w:rPr>
      </w:pPr>
      <w:r w:rsidRPr="00AB46BD">
        <w:rPr>
          <w:rFonts w:hint="cs"/>
          <w:b/>
          <w:bCs/>
          <w:u w:val="single"/>
          <w:rtl/>
        </w:rPr>
        <w:t>השפעת החוק המוצע על החוק הקיים</w:t>
      </w:r>
    </w:p>
    <w:p w:rsidR="00AB46BD" w:rsidRDefault="00AB46BD" w:rsidP="00AB46BD">
      <w:pPr>
        <w:pStyle w:val="TableBlock"/>
        <w:tabs>
          <w:tab w:val="clear" w:pos="624"/>
          <w:tab w:val="clear" w:pos="1247"/>
        </w:tabs>
        <w:rPr>
          <w:b/>
          <w:bCs/>
          <w:u w:val="single"/>
          <w:rtl/>
        </w:rPr>
      </w:pPr>
    </w:p>
    <w:p w:rsidR="00AB46BD" w:rsidRDefault="003443F0" w:rsidP="00AB46BD">
      <w:pPr>
        <w:pStyle w:val="TableBlock"/>
        <w:tabs>
          <w:tab w:val="clear" w:pos="624"/>
          <w:tab w:val="clear" w:pos="1247"/>
        </w:tabs>
        <w:rPr>
          <w:rtl/>
        </w:rPr>
      </w:pPr>
      <w:r>
        <w:rPr>
          <w:rFonts w:hint="cs"/>
          <w:rtl/>
        </w:rPr>
        <w:t>יבוטל סעיף 64א1 לפקודת מס הכנסה.</w:t>
      </w:r>
    </w:p>
    <w:p w:rsidR="00AB46BD" w:rsidRDefault="00AB46BD" w:rsidP="00AB46BD">
      <w:pPr>
        <w:pStyle w:val="TableBlock"/>
        <w:tabs>
          <w:tab w:val="clear" w:pos="624"/>
          <w:tab w:val="clear" w:pos="1247"/>
        </w:tabs>
        <w:rPr>
          <w:rtl/>
        </w:rPr>
      </w:pPr>
    </w:p>
    <w:p w:rsidR="00AB46BD" w:rsidRPr="00E32E8C" w:rsidRDefault="00AB46BD" w:rsidP="00E648A0">
      <w:pPr>
        <w:pStyle w:val="TableBlock"/>
        <w:numPr>
          <w:ilvl w:val="0"/>
          <w:numId w:val="11"/>
        </w:numPr>
        <w:tabs>
          <w:tab w:val="clear" w:pos="624"/>
          <w:tab w:val="clear" w:pos="720"/>
          <w:tab w:val="clear" w:pos="1247"/>
        </w:tabs>
        <w:ind w:left="425" w:hanging="425"/>
        <w:rPr>
          <w:u w:val="single"/>
        </w:rPr>
      </w:pPr>
      <w:r w:rsidRPr="00E32E8C">
        <w:rPr>
          <w:rFonts w:hint="cs"/>
          <w:b/>
          <w:bCs/>
          <w:u w:val="single"/>
          <w:rtl/>
        </w:rPr>
        <w:t xml:space="preserve">השפעת החוק המוצע על התקן </w:t>
      </w:r>
      <w:r w:rsidR="00E648A0">
        <w:rPr>
          <w:rFonts w:hint="cs"/>
          <w:b/>
          <w:bCs/>
          <w:u w:val="single"/>
          <w:rtl/>
        </w:rPr>
        <w:t>המנהלי</w:t>
      </w:r>
    </w:p>
    <w:p w:rsidR="00AB46BD" w:rsidRDefault="00AB46BD" w:rsidP="00AB46BD">
      <w:pPr>
        <w:pStyle w:val="TableBlock"/>
        <w:tabs>
          <w:tab w:val="clear" w:pos="624"/>
          <w:tab w:val="clear" w:pos="1247"/>
        </w:tabs>
        <w:rPr>
          <w:b/>
          <w:bCs/>
          <w:rtl/>
        </w:rPr>
      </w:pPr>
    </w:p>
    <w:p w:rsidR="00AB46BD" w:rsidRDefault="00AB46BD" w:rsidP="00AB46BD">
      <w:pPr>
        <w:pStyle w:val="TableBlock"/>
        <w:tabs>
          <w:tab w:val="clear" w:pos="624"/>
          <w:tab w:val="clear" w:pos="1247"/>
        </w:tabs>
        <w:rPr>
          <w:rtl/>
        </w:rPr>
      </w:pPr>
      <w:r w:rsidRPr="00AB46BD">
        <w:rPr>
          <w:rFonts w:hint="cs"/>
          <w:rtl/>
        </w:rPr>
        <w:t>אין</w:t>
      </w:r>
      <w:r>
        <w:rPr>
          <w:rFonts w:hint="cs"/>
          <w:rtl/>
        </w:rPr>
        <w:t>.</w:t>
      </w:r>
    </w:p>
    <w:p w:rsidR="00AB46BD" w:rsidRDefault="00AB46BD" w:rsidP="00AB46BD">
      <w:pPr>
        <w:pStyle w:val="TableBlock"/>
        <w:tabs>
          <w:tab w:val="clear" w:pos="624"/>
          <w:tab w:val="clear" w:pos="1247"/>
        </w:tabs>
        <w:rPr>
          <w:rtl/>
        </w:rPr>
      </w:pPr>
    </w:p>
    <w:p w:rsidR="00AB46BD" w:rsidRDefault="00E32E8C" w:rsidP="00E32E8C">
      <w:pPr>
        <w:pStyle w:val="TableBlock"/>
        <w:numPr>
          <w:ilvl w:val="0"/>
          <w:numId w:val="11"/>
        </w:numPr>
        <w:tabs>
          <w:tab w:val="clear" w:pos="624"/>
          <w:tab w:val="clear" w:pos="720"/>
          <w:tab w:val="clear" w:pos="1247"/>
        </w:tabs>
        <w:ind w:left="425" w:hanging="425"/>
        <w:rPr>
          <w:u w:val="single"/>
        </w:rPr>
      </w:pPr>
      <w:r w:rsidRPr="00C7602B">
        <w:rPr>
          <w:rFonts w:hint="cs"/>
          <w:b/>
          <w:bCs/>
          <w:u w:val="single"/>
          <w:rtl/>
        </w:rPr>
        <w:t>השפעת החוק המוצע על תקציב המדינה</w:t>
      </w:r>
    </w:p>
    <w:p w:rsidR="00C7602B" w:rsidRDefault="00C7602B" w:rsidP="00C7602B">
      <w:pPr>
        <w:pStyle w:val="TableBlock"/>
        <w:tabs>
          <w:tab w:val="clear" w:pos="624"/>
          <w:tab w:val="clear" w:pos="1247"/>
        </w:tabs>
        <w:rPr>
          <w:u w:val="single"/>
          <w:rtl/>
        </w:rPr>
      </w:pPr>
    </w:p>
    <w:p w:rsidR="00C7602B" w:rsidRDefault="004F121B" w:rsidP="00E648A0">
      <w:pPr>
        <w:pStyle w:val="TableBlock"/>
        <w:tabs>
          <w:tab w:val="clear" w:pos="624"/>
          <w:tab w:val="clear" w:pos="1247"/>
        </w:tabs>
        <w:rPr>
          <w:rtl/>
        </w:rPr>
      </w:pPr>
      <w:r>
        <w:rPr>
          <w:rFonts w:hint="cs"/>
          <w:rtl/>
        </w:rPr>
        <w:t>אין.</w:t>
      </w:r>
    </w:p>
    <w:p w:rsidR="004F121B" w:rsidRDefault="004F121B" w:rsidP="00E648A0">
      <w:pPr>
        <w:pStyle w:val="TableBlock"/>
        <w:tabs>
          <w:tab w:val="clear" w:pos="624"/>
          <w:tab w:val="clear" w:pos="1247"/>
        </w:tabs>
        <w:rPr>
          <w:rtl/>
        </w:rPr>
      </w:pPr>
    </w:p>
    <w:p w:rsidR="004F121B" w:rsidRDefault="004F121B" w:rsidP="00E648A0">
      <w:pPr>
        <w:pStyle w:val="TableBlock"/>
        <w:tabs>
          <w:tab w:val="clear" w:pos="624"/>
          <w:tab w:val="clear" w:pos="1247"/>
        </w:tabs>
        <w:rPr>
          <w:rtl/>
        </w:rPr>
      </w:pPr>
    </w:p>
    <w:p w:rsidR="00C7602B" w:rsidRDefault="00C7602B" w:rsidP="00C7602B">
      <w:pPr>
        <w:pStyle w:val="TableBlock"/>
        <w:tabs>
          <w:tab w:val="clear" w:pos="624"/>
          <w:tab w:val="clear" w:pos="1247"/>
        </w:tabs>
        <w:rPr>
          <w:rtl/>
        </w:rPr>
      </w:pPr>
    </w:p>
    <w:p w:rsidR="00A42398" w:rsidRDefault="00A42398" w:rsidP="00C7602B">
      <w:pPr>
        <w:pStyle w:val="TableBlock"/>
        <w:tabs>
          <w:tab w:val="clear" w:pos="624"/>
          <w:tab w:val="clear" w:pos="1247"/>
        </w:tabs>
        <w:rPr>
          <w:rtl/>
        </w:rPr>
      </w:pPr>
    </w:p>
    <w:p w:rsidR="00A42398" w:rsidRDefault="00A42398" w:rsidP="00C7602B">
      <w:pPr>
        <w:pStyle w:val="TableBlock"/>
        <w:tabs>
          <w:tab w:val="clear" w:pos="624"/>
          <w:tab w:val="clear" w:pos="1247"/>
        </w:tabs>
        <w:rPr>
          <w:rtl/>
        </w:rPr>
      </w:pPr>
    </w:p>
    <w:p w:rsidR="00A42398" w:rsidRDefault="00A42398" w:rsidP="00C7602B">
      <w:pPr>
        <w:pStyle w:val="TableBlock"/>
        <w:tabs>
          <w:tab w:val="clear" w:pos="624"/>
          <w:tab w:val="clear" w:pos="1247"/>
        </w:tabs>
        <w:rPr>
          <w:rtl/>
        </w:rPr>
      </w:pPr>
    </w:p>
    <w:p w:rsidR="00A42398" w:rsidRDefault="00A42398" w:rsidP="00C7602B">
      <w:pPr>
        <w:pStyle w:val="TableBlock"/>
        <w:tabs>
          <w:tab w:val="clear" w:pos="624"/>
          <w:tab w:val="clear" w:pos="1247"/>
        </w:tabs>
        <w:rPr>
          <w:rtl/>
        </w:rPr>
      </w:pPr>
    </w:p>
    <w:p w:rsidR="00A42398" w:rsidRDefault="00A42398" w:rsidP="00C7602B">
      <w:pPr>
        <w:pStyle w:val="TableBlock"/>
        <w:tabs>
          <w:tab w:val="clear" w:pos="624"/>
          <w:tab w:val="clear" w:pos="1247"/>
        </w:tabs>
        <w:rPr>
          <w:rtl/>
        </w:rPr>
      </w:pPr>
    </w:p>
    <w:p w:rsidR="00A42398" w:rsidRDefault="00A42398" w:rsidP="00C7602B">
      <w:pPr>
        <w:pStyle w:val="TableBlock"/>
        <w:tabs>
          <w:tab w:val="clear" w:pos="624"/>
          <w:tab w:val="clear" w:pos="1247"/>
        </w:tabs>
        <w:rPr>
          <w:rtl/>
        </w:rPr>
      </w:pPr>
    </w:p>
    <w:p w:rsidR="00A42398" w:rsidRDefault="00A42398" w:rsidP="00C7602B">
      <w:pPr>
        <w:pStyle w:val="TableBlock"/>
        <w:tabs>
          <w:tab w:val="clear" w:pos="624"/>
          <w:tab w:val="clear" w:pos="1247"/>
        </w:tabs>
        <w:rPr>
          <w:rtl/>
        </w:rPr>
      </w:pPr>
    </w:p>
    <w:p w:rsidR="00A42398" w:rsidRDefault="00A42398" w:rsidP="00C7602B">
      <w:pPr>
        <w:pStyle w:val="TableBlock"/>
        <w:tabs>
          <w:tab w:val="clear" w:pos="624"/>
          <w:tab w:val="clear" w:pos="1247"/>
        </w:tabs>
        <w:rPr>
          <w:rtl/>
        </w:rPr>
      </w:pPr>
    </w:p>
    <w:p w:rsidR="00A42398" w:rsidRDefault="00A42398" w:rsidP="00C7602B">
      <w:pPr>
        <w:pStyle w:val="TableBlock"/>
        <w:tabs>
          <w:tab w:val="clear" w:pos="624"/>
          <w:tab w:val="clear" w:pos="1247"/>
        </w:tabs>
        <w:rPr>
          <w:rtl/>
        </w:rPr>
      </w:pPr>
    </w:p>
    <w:p w:rsidR="00A42398" w:rsidRDefault="00A42398" w:rsidP="00C7602B">
      <w:pPr>
        <w:pStyle w:val="TableBlock"/>
        <w:tabs>
          <w:tab w:val="clear" w:pos="624"/>
          <w:tab w:val="clear" w:pos="1247"/>
        </w:tabs>
        <w:rPr>
          <w:rtl/>
        </w:rPr>
      </w:pPr>
    </w:p>
    <w:p w:rsidR="00A42398" w:rsidRDefault="00A42398" w:rsidP="00C7602B">
      <w:pPr>
        <w:pStyle w:val="TableBlock"/>
        <w:tabs>
          <w:tab w:val="clear" w:pos="624"/>
          <w:tab w:val="clear" w:pos="1247"/>
        </w:tabs>
        <w:rPr>
          <w:rtl/>
        </w:rPr>
      </w:pPr>
    </w:p>
    <w:p w:rsidR="00A42398" w:rsidRDefault="00A42398" w:rsidP="00C7602B">
      <w:pPr>
        <w:pStyle w:val="TableBlock"/>
        <w:tabs>
          <w:tab w:val="clear" w:pos="624"/>
          <w:tab w:val="clear" w:pos="1247"/>
        </w:tabs>
        <w:rPr>
          <w:rtl/>
        </w:rPr>
      </w:pPr>
    </w:p>
    <w:p w:rsidR="00A42398" w:rsidRDefault="00A42398" w:rsidP="00C7602B">
      <w:pPr>
        <w:pStyle w:val="TableBlock"/>
        <w:tabs>
          <w:tab w:val="clear" w:pos="624"/>
          <w:tab w:val="clear" w:pos="1247"/>
        </w:tabs>
        <w:rPr>
          <w:rtl/>
        </w:rPr>
      </w:pPr>
    </w:p>
    <w:p w:rsidR="00A42398" w:rsidRDefault="00A42398" w:rsidP="00C7602B">
      <w:pPr>
        <w:pStyle w:val="TableBlock"/>
        <w:tabs>
          <w:tab w:val="clear" w:pos="624"/>
          <w:tab w:val="clear" w:pos="1247"/>
        </w:tabs>
        <w:rPr>
          <w:rtl/>
        </w:rPr>
      </w:pPr>
    </w:p>
    <w:p w:rsidR="00A42398" w:rsidRDefault="00A42398" w:rsidP="00C7602B">
      <w:pPr>
        <w:pStyle w:val="TableBlock"/>
        <w:tabs>
          <w:tab w:val="clear" w:pos="624"/>
          <w:tab w:val="clear" w:pos="1247"/>
        </w:tabs>
        <w:rPr>
          <w:rtl/>
        </w:rPr>
      </w:pPr>
    </w:p>
    <w:p w:rsidR="00A42398" w:rsidRDefault="00A42398" w:rsidP="00C7602B">
      <w:pPr>
        <w:pStyle w:val="TableBlock"/>
        <w:tabs>
          <w:tab w:val="clear" w:pos="624"/>
          <w:tab w:val="clear" w:pos="1247"/>
        </w:tabs>
        <w:rPr>
          <w:rtl/>
        </w:rPr>
      </w:pPr>
    </w:p>
    <w:p w:rsidR="00A42398" w:rsidRDefault="00A42398" w:rsidP="00C7602B">
      <w:pPr>
        <w:pStyle w:val="TableBlock"/>
        <w:tabs>
          <w:tab w:val="clear" w:pos="624"/>
          <w:tab w:val="clear" w:pos="1247"/>
        </w:tabs>
        <w:rPr>
          <w:rtl/>
        </w:rPr>
      </w:pPr>
    </w:p>
    <w:p w:rsidR="00A42398" w:rsidRDefault="00A42398" w:rsidP="00C7602B">
      <w:pPr>
        <w:pStyle w:val="TableBlock"/>
        <w:tabs>
          <w:tab w:val="clear" w:pos="624"/>
          <w:tab w:val="clear" w:pos="1247"/>
        </w:tabs>
        <w:rPr>
          <w:rtl/>
        </w:rPr>
      </w:pPr>
    </w:p>
    <w:p w:rsidR="00A42398" w:rsidRDefault="00A42398" w:rsidP="00C7602B">
      <w:pPr>
        <w:pStyle w:val="TableBlock"/>
        <w:tabs>
          <w:tab w:val="clear" w:pos="624"/>
          <w:tab w:val="clear" w:pos="1247"/>
        </w:tabs>
        <w:rPr>
          <w:rtl/>
        </w:rPr>
      </w:pPr>
    </w:p>
    <w:p w:rsidR="00A42398" w:rsidRDefault="00A42398" w:rsidP="00C7602B">
      <w:pPr>
        <w:pStyle w:val="TableBlock"/>
        <w:tabs>
          <w:tab w:val="clear" w:pos="624"/>
          <w:tab w:val="clear" w:pos="1247"/>
        </w:tabs>
        <w:rPr>
          <w:rtl/>
        </w:rPr>
      </w:pPr>
    </w:p>
    <w:p w:rsidR="00A42398" w:rsidRDefault="00A42398" w:rsidP="00C7602B">
      <w:pPr>
        <w:pStyle w:val="TableBlock"/>
        <w:tabs>
          <w:tab w:val="clear" w:pos="624"/>
          <w:tab w:val="clear" w:pos="1247"/>
        </w:tabs>
        <w:rPr>
          <w:rtl/>
        </w:rPr>
      </w:pPr>
    </w:p>
    <w:p w:rsidR="004F4A9A" w:rsidRDefault="004F4A9A" w:rsidP="004F4A9A">
      <w:pPr>
        <w:pStyle w:val="HeadMitparsemetBaze"/>
        <w:keepNext w:val="0"/>
        <w:keepLines w:val="0"/>
        <w:pageBreakBefore w:val="0"/>
        <w:rPr>
          <w:rtl/>
        </w:rPr>
      </w:pPr>
      <w:r>
        <w:rPr>
          <w:rtl/>
        </w:rPr>
        <w:t xml:space="preserve">הצעת חוק </w:t>
      </w:r>
      <w:r>
        <w:rPr>
          <w:rFonts w:hint="cs"/>
          <w:rtl/>
        </w:rPr>
        <w:t xml:space="preserve">מטעם הממשלה: </w:t>
      </w:r>
    </w:p>
    <w:p w:rsidR="004F4A9A" w:rsidRDefault="004F4A9A" w:rsidP="00F641CA">
      <w:pPr>
        <w:pStyle w:val="HeadHatzaotHok"/>
        <w:keepNext w:val="0"/>
        <w:keepLines w:val="0"/>
        <w:rPr>
          <w:rtl/>
        </w:rPr>
      </w:pPr>
      <w:r>
        <w:rPr>
          <w:rtl/>
        </w:rPr>
        <w:t>הצעת חו</w:t>
      </w:r>
      <w:r>
        <w:rPr>
          <w:rFonts w:hint="cs"/>
          <w:rtl/>
        </w:rPr>
        <w:t xml:space="preserve">ק  לתיקון פקודת מס הכנסה </w:t>
      </w:r>
      <w:r w:rsidRPr="00CF5BDF">
        <w:rPr>
          <w:rFonts w:hint="cs"/>
          <w:rtl/>
        </w:rPr>
        <w:t>(תיקון מס'...)</w:t>
      </w:r>
      <w:r>
        <w:rPr>
          <w:rFonts w:hint="cs"/>
          <w:rtl/>
        </w:rPr>
        <w:t xml:space="preserve">, התשע"ח- </w:t>
      </w:r>
      <w:r w:rsidR="00F641CA">
        <w:rPr>
          <w:rFonts w:hint="cs"/>
          <w:rtl/>
        </w:rPr>
        <w:t>2018</w:t>
      </w:r>
    </w:p>
    <w:tbl>
      <w:tblPr>
        <w:bidiVisual/>
        <w:tblW w:w="9641" w:type="dxa"/>
        <w:tblLayout w:type="fixed"/>
        <w:tblLook w:val="01E0" w:firstRow="1" w:lastRow="1" w:firstColumn="1" w:lastColumn="1" w:noHBand="0" w:noVBand="0"/>
      </w:tblPr>
      <w:tblGrid>
        <w:gridCol w:w="1871"/>
        <w:gridCol w:w="624"/>
        <w:gridCol w:w="7146"/>
      </w:tblGrid>
      <w:tr w:rsidR="004F4A9A" w:rsidTr="004F4A9A">
        <w:trPr>
          <w:trHeight w:val="60"/>
        </w:trPr>
        <w:tc>
          <w:tcPr>
            <w:tcW w:w="1871" w:type="dxa"/>
          </w:tcPr>
          <w:p w:rsidR="004F4A9A" w:rsidRDefault="004F4A9A" w:rsidP="004F4A9A">
            <w:pPr>
              <w:pStyle w:val="TableSideHeading"/>
              <w:keepLines w:val="0"/>
            </w:pPr>
          </w:p>
        </w:tc>
        <w:tc>
          <w:tcPr>
            <w:tcW w:w="624" w:type="dxa"/>
          </w:tcPr>
          <w:p w:rsidR="004F4A9A" w:rsidRDefault="004F4A9A" w:rsidP="004F4A9A">
            <w:pPr>
              <w:pStyle w:val="TableText"/>
              <w:keepLines w:val="0"/>
            </w:pPr>
          </w:p>
        </w:tc>
        <w:tc>
          <w:tcPr>
            <w:tcW w:w="7146" w:type="dxa"/>
          </w:tcPr>
          <w:p w:rsidR="004F4A9A" w:rsidRPr="00C34DE2" w:rsidRDefault="004F4A9A" w:rsidP="004F4A9A">
            <w:pPr>
              <w:pStyle w:val="TableHead"/>
              <w:keepLines w:val="0"/>
            </w:pPr>
          </w:p>
        </w:tc>
      </w:tr>
      <w:tr w:rsidR="004F4A9A" w:rsidTr="004F4A9A">
        <w:trPr>
          <w:trHeight w:val="60"/>
        </w:trPr>
        <w:tc>
          <w:tcPr>
            <w:tcW w:w="1871" w:type="dxa"/>
          </w:tcPr>
          <w:p w:rsidR="004F4A9A" w:rsidRDefault="004F4A9A" w:rsidP="004F4A9A">
            <w:pPr>
              <w:pStyle w:val="TableSideHeading"/>
              <w:keepLines w:val="0"/>
            </w:pPr>
            <w:r>
              <w:rPr>
                <w:rFonts w:hint="cs"/>
                <w:rtl/>
              </w:rPr>
              <w:t>מחיקת ס' 64א1</w:t>
            </w:r>
          </w:p>
        </w:tc>
        <w:tc>
          <w:tcPr>
            <w:tcW w:w="624" w:type="dxa"/>
          </w:tcPr>
          <w:p w:rsidR="004F4A9A" w:rsidRDefault="004F4A9A" w:rsidP="004F4A9A">
            <w:pPr>
              <w:pStyle w:val="TableText"/>
              <w:keepLines w:val="0"/>
              <w:numPr>
                <w:ilvl w:val="0"/>
                <w:numId w:val="1"/>
              </w:numPr>
            </w:pPr>
          </w:p>
        </w:tc>
        <w:tc>
          <w:tcPr>
            <w:tcW w:w="7146" w:type="dxa"/>
          </w:tcPr>
          <w:p w:rsidR="004F4A9A" w:rsidRPr="00C34DE2" w:rsidRDefault="00213FF2" w:rsidP="00213FF2">
            <w:pPr>
              <w:pStyle w:val="TableBlock"/>
              <w:keepLines w:val="0"/>
            </w:pPr>
            <w:r>
              <w:rPr>
                <w:rFonts w:hint="cs"/>
                <w:rtl/>
              </w:rPr>
              <w:t xml:space="preserve">בפקודת מס הכנסה [נוסח חדש], </w:t>
            </w:r>
            <w:r w:rsidR="004F4A9A">
              <w:rPr>
                <w:rFonts w:hint="cs"/>
                <w:rtl/>
              </w:rPr>
              <w:t xml:space="preserve">סימן ה' לפרק שני בחלק ד' - </w:t>
            </w:r>
            <w:r>
              <w:rPr>
                <w:rFonts w:hint="cs"/>
                <w:rtl/>
              </w:rPr>
              <w:t>בטל.</w:t>
            </w:r>
          </w:p>
        </w:tc>
      </w:tr>
    </w:tbl>
    <w:p w:rsidR="004F4A9A" w:rsidRPr="00213FF2" w:rsidRDefault="004F4A9A" w:rsidP="004F4A9A">
      <w:pPr>
        <w:pStyle w:val="HeadDivreiHesber"/>
        <w:rPr>
          <w:rtl/>
        </w:rPr>
      </w:pPr>
    </w:p>
    <w:p w:rsidR="005D51AE" w:rsidRPr="00167B1C" w:rsidRDefault="005D51AE" w:rsidP="00167B1C"/>
    <w:sectPr w:rsidR="005D51AE" w:rsidRPr="00167B1C" w:rsidSect="0043477B">
      <w:footerReference w:type="even" r:id="rId11"/>
      <w:footerReference w:type="default" r:id="rId12"/>
      <w:pgSz w:w="11907" w:h="16840" w:code="9"/>
      <w:pgMar w:top="822" w:right="1134" w:bottom="1134" w:left="1134" w:header="284" w:footer="680" w:gutter="0"/>
      <w:cols w:space="720"/>
      <w:noEndnote/>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84F" w:rsidRDefault="0005784F">
      <w:r>
        <w:separator/>
      </w:r>
    </w:p>
  </w:endnote>
  <w:endnote w:type="continuationSeparator" w:id="0">
    <w:p w:rsidR="0005784F" w:rsidRDefault="0005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763" w:rsidRDefault="00B37763" w:rsidP="004274C2">
    <w:pPr>
      <w:pStyle w:val="a8"/>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end"/>
    </w:r>
  </w:p>
  <w:p w:rsidR="00B37763" w:rsidRDefault="00B3776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763" w:rsidRPr="00293537" w:rsidRDefault="00B37763" w:rsidP="00293537">
    <w:pPr>
      <w:pStyle w:val="a8"/>
      <w:framePr w:wrap="around" w:vAnchor="text" w:hAnchor="page" w:x="5782" w:y="55"/>
      <w:rPr>
        <w:rStyle w:val="a9"/>
        <w:rFonts w:cs="David"/>
        <w:sz w:val="26"/>
        <w:szCs w:val="26"/>
      </w:rPr>
    </w:pPr>
    <w:r w:rsidRPr="00293537">
      <w:rPr>
        <w:rStyle w:val="a9"/>
        <w:rFonts w:cs="David"/>
        <w:sz w:val="26"/>
        <w:szCs w:val="26"/>
        <w:rtl/>
      </w:rPr>
      <w:fldChar w:fldCharType="begin"/>
    </w:r>
    <w:r w:rsidRPr="00293537">
      <w:rPr>
        <w:rStyle w:val="a9"/>
        <w:rFonts w:cs="David"/>
        <w:sz w:val="26"/>
        <w:szCs w:val="26"/>
      </w:rPr>
      <w:instrText xml:space="preserve">PAGE  </w:instrText>
    </w:r>
    <w:r w:rsidRPr="00293537">
      <w:rPr>
        <w:rStyle w:val="a9"/>
        <w:rFonts w:cs="David"/>
        <w:sz w:val="26"/>
        <w:szCs w:val="26"/>
        <w:rtl/>
      </w:rPr>
      <w:fldChar w:fldCharType="separate"/>
    </w:r>
    <w:r w:rsidR="00657647">
      <w:rPr>
        <w:rStyle w:val="a9"/>
        <w:rFonts w:cs="David"/>
        <w:noProof/>
        <w:sz w:val="26"/>
        <w:szCs w:val="26"/>
        <w:rtl/>
      </w:rPr>
      <w:t>1</w:t>
    </w:r>
    <w:r w:rsidRPr="00293537">
      <w:rPr>
        <w:rStyle w:val="a9"/>
        <w:rFonts w:cs="David"/>
        <w:sz w:val="26"/>
        <w:szCs w:val="26"/>
        <w:rtl/>
      </w:rPr>
      <w:fldChar w:fldCharType="end"/>
    </w:r>
  </w:p>
  <w:p w:rsidR="00B37763" w:rsidRDefault="00B37763" w:rsidP="0043477B">
    <w:pPr>
      <w:pStyle w:val="a8"/>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84F" w:rsidRDefault="0005784F">
      <w:pPr>
        <w:ind w:firstLine="0"/>
      </w:pPr>
      <w:r>
        <w:separator/>
      </w:r>
    </w:p>
  </w:footnote>
  <w:footnote w:type="continuationSeparator" w:id="0">
    <w:p w:rsidR="0005784F" w:rsidRDefault="0005784F">
      <w:r>
        <w:continuationSeparator/>
      </w:r>
    </w:p>
  </w:footnote>
  <w:footnote w:type="continuationNotice" w:id="1">
    <w:p w:rsidR="0005784F" w:rsidRDefault="0005784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053B601A"/>
    <w:multiLevelType w:val="hybridMultilevel"/>
    <w:tmpl w:val="1BB4291C"/>
    <w:lvl w:ilvl="0" w:tplc="C3960B56">
      <w:start w:val="1"/>
      <w:numFmt w:val="decimal"/>
      <w:lvlRestart w:val="0"/>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7825DA"/>
    <w:multiLevelType w:val="hybridMultilevel"/>
    <w:tmpl w:val="9EDAB25A"/>
    <w:lvl w:ilvl="0" w:tplc="C3960B56">
      <w:start w:val="1"/>
      <w:numFmt w:val="decimal"/>
      <w:lvlRestart w:val="0"/>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BB6691"/>
    <w:multiLevelType w:val="hybridMultilevel"/>
    <w:tmpl w:val="1526A544"/>
    <w:lvl w:ilvl="0" w:tplc="C3960B56">
      <w:start w:val="1"/>
      <w:numFmt w:val="decimal"/>
      <w:lvlRestart w:val="0"/>
      <w:lvlText w:val="(%1)"/>
      <w:lvlJc w:val="left"/>
      <w:pPr>
        <w:tabs>
          <w:tab w:val="num" w:pos="624"/>
        </w:tabs>
        <w:ind w:left="0" w:firstLine="0"/>
      </w:pPr>
      <w:rPr>
        <w:rFonts w:hint="default"/>
      </w:rPr>
    </w:lvl>
    <w:lvl w:ilvl="1" w:tplc="04090019" w:tentative="1">
      <w:start w:val="1"/>
      <w:numFmt w:val="lowerLetter"/>
      <w:lvlText w:val="%2."/>
      <w:lvlJc w:val="left"/>
      <w:pPr>
        <w:tabs>
          <w:tab w:val="num" w:pos="1503"/>
        </w:tabs>
        <w:ind w:left="1503" w:hanging="360"/>
      </w:pPr>
    </w:lvl>
    <w:lvl w:ilvl="2" w:tplc="0409001B" w:tentative="1">
      <w:start w:val="1"/>
      <w:numFmt w:val="lowerRoman"/>
      <w:lvlText w:val="%3."/>
      <w:lvlJc w:val="right"/>
      <w:pPr>
        <w:tabs>
          <w:tab w:val="num" w:pos="2223"/>
        </w:tabs>
        <w:ind w:left="2223" w:hanging="180"/>
      </w:pPr>
    </w:lvl>
    <w:lvl w:ilvl="3" w:tplc="0409000F" w:tentative="1">
      <w:start w:val="1"/>
      <w:numFmt w:val="decimal"/>
      <w:lvlText w:val="%4."/>
      <w:lvlJc w:val="left"/>
      <w:pPr>
        <w:tabs>
          <w:tab w:val="num" w:pos="2943"/>
        </w:tabs>
        <w:ind w:left="2943" w:hanging="360"/>
      </w:pPr>
    </w:lvl>
    <w:lvl w:ilvl="4" w:tplc="04090019" w:tentative="1">
      <w:start w:val="1"/>
      <w:numFmt w:val="lowerLetter"/>
      <w:lvlText w:val="%5."/>
      <w:lvlJc w:val="left"/>
      <w:pPr>
        <w:tabs>
          <w:tab w:val="num" w:pos="3663"/>
        </w:tabs>
        <w:ind w:left="3663" w:hanging="360"/>
      </w:pPr>
    </w:lvl>
    <w:lvl w:ilvl="5" w:tplc="0409001B" w:tentative="1">
      <w:start w:val="1"/>
      <w:numFmt w:val="lowerRoman"/>
      <w:lvlText w:val="%6."/>
      <w:lvlJc w:val="right"/>
      <w:pPr>
        <w:tabs>
          <w:tab w:val="num" w:pos="4383"/>
        </w:tabs>
        <w:ind w:left="4383" w:hanging="180"/>
      </w:pPr>
    </w:lvl>
    <w:lvl w:ilvl="6" w:tplc="0409000F" w:tentative="1">
      <w:start w:val="1"/>
      <w:numFmt w:val="decimal"/>
      <w:lvlText w:val="%7."/>
      <w:lvlJc w:val="left"/>
      <w:pPr>
        <w:tabs>
          <w:tab w:val="num" w:pos="5103"/>
        </w:tabs>
        <w:ind w:left="5103" w:hanging="360"/>
      </w:pPr>
    </w:lvl>
    <w:lvl w:ilvl="7" w:tplc="04090019" w:tentative="1">
      <w:start w:val="1"/>
      <w:numFmt w:val="lowerLetter"/>
      <w:lvlText w:val="%8."/>
      <w:lvlJc w:val="left"/>
      <w:pPr>
        <w:tabs>
          <w:tab w:val="num" w:pos="5823"/>
        </w:tabs>
        <w:ind w:left="5823" w:hanging="360"/>
      </w:pPr>
    </w:lvl>
    <w:lvl w:ilvl="8" w:tplc="0409001B" w:tentative="1">
      <w:start w:val="1"/>
      <w:numFmt w:val="lowerRoman"/>
      <w:lvlText w:val="%9."/>
      <w:lvlJc w:val="right"/>
      <w:pPr>
        <w:tabs>
          <w:tab w:val="num" w:pos="6543"/>
        </w:tabs>
        <w:ind w:left="6543" w:hanging="180"/>
      </w:pPr>
    </w:lvl>
  </w:abstractNum>
  <w:abstractNum w:abstractNumId="5" w15:restartNumberingAfterBreak="0">
    <w:nsid w:val="333377EF"/>
    <w:multiLevelType w:val="multilevel"/>
    <w:tmpl w:val="A8AEAD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DB43524"/>
    <w:multiLevelType w:val="hybridMultilevel"/>
    <w:tmpl w:val="53AA18A8"/>
    <w:lvl w:ilvl="0" w:tplc="8152B44E">
      <w:start w:val="1"/>
      <w:numFmt w:val="hebrew1"/>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484E8D"/>
    <w:multiLevelType w:val="hybridMultilevel"/>
    <w:tmpl w:val="2720552C"/>
    <w:lvl w:ilvl="0" w:tplc="E86C2FC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855795"/>
    <w:multiLevelType w:val="hybridMultilevel"/>
    <w:tmpl w:val="65340C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1329DC"/>
    <w:multiLevelType w:val="hybridMultilevel"/>
    <w:tmpl w:val="2C5E9B4C"/>
    <w:lvl w:ilvl="0" w:tplc="C3960B56">
      <w:start w:val="1"/>
      <w:numFmt w:val="decimal"/>
      <w:lvlRestart w:val="0"/>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B86981"/>
    <w:multiLevelType w:val="hybridMultilevel"/>
    <w:tmpl w:val="F4621EDA"/>
    <w:lvl w:ilvl="0" w:tplc="A68CD3B2">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2D07D8"/>
    <w:multiLevelType w:val="hybridMultilevel"/>
    <w:tmpl w:val="26223726"/>
    <w:lvl w:ilvl="0" w:tplc="8182C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6B7341"/>
    <w:multiLevelType w:val="hybridMultilevel"/>
    <w:tmpl w:val="AD982EA6"/>
    <w:lvl w:ilvl="0" w:tplc="8640CE56">
      <w:start w:val="1"/>
      <w:numFmt w:val="hebrew1"/>
      <w:lvlRestart w:val="0"/>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9"/>
  </w:num>
  <w:num w:numId="4">
    <w:abstractNumId w:val="4"/>
  </w:num>
  <w:num w:numId="5">
    <w:abstractNumId w:val="0"/>
  </w:num>
  <w:num w:numId="6">
    <w:abstractNumId w:val="2"/>
  </w:num>
  <w:num w:numId="7">
    <w:abstractNumId w:val="12"/>
  </w:num>
  <w:num w:numId="8">
    <w:abstractNumId w:val="1"/>
  </w:num>
  <w:num w:numId="9">
    <w:abstractNumId w:val="3"/>
  </w:num>
  <w:num w:numId="10">
    <w:abstractNumId w:val="8"/>
  </w:num>
  <w:num w:numId="11">
    <w:abstractNumId w:val="6"/>
  </w:num>
  <w:num w:numId="12">
    <w:abstractNumId w:val="5"/>
  </w:num>
  <w:num w:numId="13">
    <w:abstractNumId w:val="13"/>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DF"/>
    <w:rsid w:val="00001778"/>
    <w:rsid w:val="00003E2C"/>
    <w:rsid w:val="00011BA0"/>
    <w:rsid w:val="00011C4D"/>
    <w:rsid w:val="000314BD"/>
    <w:rsid w:val="0003252C"/>
    <w:rsid w:val="0003404E"/>
    <w:rsid w:val="00037443"/>
    <w:rsid w:val="00042C24"/>
    <w:rsid w:val="00043CE4"/>
    <w:rsid w:val="00047512"/>
    <w:rsid w:val="0005784F"/>
    <w:rsid w:val="00075E55"/>
    <w:rsid w:val="00080B43"/>
    <w:rsid w:val="00082BB0"/>
    <w:rsid w:val="00084A3D"/>
    <w:rsid w:val="000B714C"/>
    <w:rsid w:val="000C2C58"/>
    <w:rsid w:val="000C2D5B"/>
    <w:rsid w:val="000D0178"/>
    <w:rsid w:val="000D157F"/>
    <w:rsid w:val="000D3CAA"/>
    <w:rsid w:val="000E2AF8"/>
    <w:rsid w:val="000E69FB"/>
    <w:rsid w:val="000F1328"/>
    <w:rsid w:val="000F6A43"/>
    <w:rsid w:val="000F7105"/>
    <w:rsid w:val="00100C83"/>
    <w:rsid w:val="001216C1"/>
    <w:rsid w:val="001216CF"/>
    <w:rsid w:val="00130058"/>
    <w:rsid w:val="00133613"/>
    <w:rsid w:val="00137CF2"/>
    <w:rsid w:val="00142BC2"/>
    <w:rsid w:val="00142D93"/>
    <w:rsid w:val="001477F8"/>
    <w:rsid w:val="00147CAE"/>
    <w:rsid w:val="00154CBA"/>
    <w:rsid w:val="00157888"/>
    <w:rsid w:val="00161837"/>
    <w:rsid w:val="00162B97"/>
    <w:rsid w:val="001639A3"/>
    <w:rsid w:val="00164465"/>
    <w:rsid w:val="00167B1C"/>
    <w:rsid w:val="001753B1"/>
    <w:rsid w:val="00183712"/>
    <w:rsid w:val="00194F6C"/>
    <w:rsid w:val="001A4578"/>
    <w:rsid w:val="001B1478"/>
    <w:rsid w:val="001B2A30"/>
    <w:rsid w:val="001B320D"/>
    <w:rsid w:val="001B7CE6"/>
    <w:rsid w:val="001C1446"/>
    <w:rsid w:val="001C73CB"/>
    <w:rsid w:val="001D7024"/>
    <w:rsid w:val="001D70F3"/>
    <w:rsid w:val="001E4273"/>
    <w:rsid w:val="001E73F2"/>
    <w:rsid w:val="001E7C1D"/>
    <w:rsid w:val="00200906"/>
    <w:rsid w:val="00213FF2"/>
    <w:rsid w:val="002345C9"/>
    <w:rsid w:val="002520FB"/>
    <w:rsid w:val="00256C6A"/>
    <w:rsid w:val="00267874"/>
    <w:rsid w:val="002723C6"/>
    <w:rsid w:val="002725FB"/>
    <w:rsid w:val="00293537"/>
    <w:rsid w:val="002A029C"/>
    <w:rsid w:val="002B45AF"/>
    <w:rsid w:val="002C03E2"/>
    <w:rsid w:val="002C18C4"/>
    <w:rsid w:val="002D1C18"/>
    <w:rsid w:val="002D445F"/>
    <w:rsid w:val="002E25E5"/>
    <w:rsid w:val="002E32F0"/>
    <w:rsid w:val="00300B11"/>
    <w:rsid w:val="00306C7B"/>
    <w:rsid w:val="00306D70"/>
    <w:rsid w:val="00310885"/>
    <w:rsid w:val="00313568"/>
    <w:rsid w:val="0031416A"/>
    <w:rsid w:val="00322336"/>
    <w:rsid w:val="00334626"/>
    <w:rsid w:val="00342382"/>
    <w:rsid w:val="003443F0"/>
    <w:rsid w:val="00346EBA"/>
    <w:rsid w:val="00352C2C"/>
    <w:rsid w:val="00361794"/>
    <w:rsid w:val="00363D5A"/>
    <w:rsid w:val="00372B59"/>
    <w:rsid w:val="00373BD5"/>
    <w:rsid w:val="00374C5B"/>
    <w:rsid w:val="00385EB4"/>
    <w:rsid w:val="0039143F"/>
    <w:rsid w:val="00395D16"/>
    <w:rsid w:val="0039654C"/>
    <w:rsid w:val="003A26F0"/>
    <w:rsid w:val="003A663D"/>
    <w:rsid w:val="003B1997"/>
    <w:rsid w:val="003B784A"/>
    <w:rsid w:val="003C0316"/>
    <w:rsid w:val="003C360B"/>
    <w:rsid w:val="003C5590"/>
    <w:rsid w:val="003C6FAF"/>
    <w:rsid w:val="003D2471"/>
    <w:rsid w:val="003D49CD"/>
    <w:rsid w:val="003E1498"/>
    <w:rsid w:val="003E57B4"/>
    <w:rsid w:val="003F623B"/>
    <w:rsid w:val="00405752"/>
    <w:rsid w:val="00415407"/>
    <w:rsid w:val="004274C2"/>
    <w:rsid w:val="004278FF"/>
    <w:rsid w:val="00430799"/>
    <w:rsid w:val="0043477B"/>
    <w:rsid w:val="004478AF"/>
    <w:rsid w:val="00451046"/>
    <w:rsid w:val="00452615"/>
    <w:rsid w:val="004608CD"/>
    <w:rsid w:val="00473196"/>
    <w:rsid w:val="00474A1A"/>
    <w:rsid w:val="00482EBB"/>
    <w:rsid w:val="0048373C"/>
    <w:rsid w:val="004870E7"/>
    <w:rsid w:val="0049107E"/>
    <w:rsid w:val="004A7261"/>
    <w:rsid w:val="004A7E1E"/>
    <w:rsid w:val="004C58F8"/>
    <w:rsid w:val="004C6AE5"/>
    <w:rsid w:val="004C7C95"/>
    <w:rsid w:val="004F121B"/>
    <w:rsid w:val="004F2F71"/>
    <w:rsid w:val="004F3312"/>
    <w:rsid w:val="004F4A9A"/>
    <w:rsid w:val="0050052F"/>
    <w:rsid w:val="00501A87"/>
    <w:rsid w:val="00504784"/>
    <w:rsid w:val="005123B1"/>
    <w:rsid w:val="0052072A"/>
    <w:rsid w:val="00523C92"/>
    <w:rsid w:val="005275E5"/>
    <w:rsid w:val="00532FFD"/>
    <w:rsid w:val="00535F0C"/>
    <w:rsid w:val="005465BE"/>
    <w:rsid w:val="00554AF4"/>
    <w:rsid w:val="0056156D"/>
    <w:rsid w:val="005625F4"/>
    <w:rsid w:val="00567FB2"/>
    <w:rsid w:val="00572C04"/>
    <w:rsid w:val="005751E9"/>
    <w:rsid w:val="005771C4"/>
    <w:rsid w:val="005911E1"/>
    <w:rsid w:val="0059399E"/>
    <w:rsid w:val="005C2E4C"/>
    <w:rsid w:val="005C334D"/>
    <w:rsid w:val="005C67DE"/>
    <w:rsid w:val="005C7BC5"/>
    <w:rsid w:val="005D0B0D"/>
    <w:rsid w:val="005D51AE"/>
    <w:rsid w:val="005D648C"/>
    <w:rsid w:val="005E24FF"/>
    <w:rsid w:val="005E2B24"/>
    <w:rsid w:val="005F181C"/>
    <w:rsid w:val="005F63FC"/>
    <w:rsid w:val="00600873"/>
    <w:rsid w:val="0060685C"/>
    <w:rsid w:val="00607770"/>
    <w:rsid w:val="00607881"/>
    <w:rsid w:val="00610501"/>
    <w:rsid w:val="00622152"/>
    <w:rsid w:val="00624C63"/>
    <w:rsid w:val="00626E1B"/>
    <w:rsid w:val="00637BC2"/>
    <w:rsid w:val="00643333"/>
    <w:rsid w:val="00644940"/>
    <w:rsid w:val="0065338F"/>
    <w:rsid w:val="0065742B"/>
    <w:rsid w:val="00657647"/>
    <w:rsid w:val="00660029"/>
    <w:rsid w:val="00660C42"/>
    <w:rsid w:val="00662D9D"/>
    <w:rsid w:val="00674761"/>
    <w:rsid w:val="00682C9F"/>
    <w:rsid w:val="00684166"/>
    <w:rsid w:val="0068474D"/>
    <w:rsid w:val="006A1934"/>
    <w:rsid w:val="006A3DB5"/>
    <w:rsid w:val="006A73E4"/>
    <w:rsid w:val="006B10EA"/>
    <w:rsid w:val="006B2468"/>
    <w:rsid w:val="006B40B5"/>
    <w:rsid w:val="006B50AC"/>
    <w:rsid w:val="006B6F30"/>
    <w:rsid w:val="006C5C0E"/>
    <w:rsid w:val="006C6B37"/>
    <w:rsid w:val="006C6E97"/>
    <w:rsid w:val="006C74B3"/>
    <w:rsid w:val="006D2D06"/>
    <w:rsid w:val="006E2E9E"/>
    <w:rsid w:val="006E3FFD"/>
    <w:rsid w:val="007053C1"/>
    <w:rsid w:val="0070577C"/>
    <w:rsid w:val="00706B44"/>
    <w:rsid w:val="00714603"/>
    <w:rsid w:val="00714EF0"/>
    <w:rsid w:val="00716701"/>
    <w:rsid w:val="00720ADC"/>
    <w:rsid w:val="00724C8D"/>
    <w:rsid w:val="00725D36"/>
    <w:rsid w:val="00726D8C"/>
    <w:rsid w:val="007408DF"/>
    <w:rsid w:val="0074391B"/>
    <w:rsid w:val="00743C08"/>
    <w:rsid w:val="00747832"/>
    <w:rsid w:val="00754154"/>
    <w:rsid w:val="007651DC"/>
    <w:rsid w:val="00766065"/>
    <w:rsid w:val="0077246A"/>
    <w:rsid w:val="00781C4C"/>
    <w:rsid w:val="0078279D"/>
    <w:rsid w:val="00784401"/>
    <w:rsid w:val="00786188"/>
    <w:rsid w:val="007906D4"/>
    <w:rsid w:val="00797D1A"/>
    <w:rsid w:val="007A2FB8"/>
    <w:rsid w:val="007A4E8F"/>
    <w:rsid w:val="007A5EA1"/>
    <w:rsid w:val="007A7870"/>
    <w:rsid w:val="007B1C96"/>
    <w:rsid w:val="007B58F1"/>
    <w:rsid w:val="007B5A4B"/>
    <w:rsid w:val="007C0140"/>
    <w:rsid w:val="007D14F1"/>
    <w:rsid w:val="007D2722"/>
    <w:rsid w:val="007D61D8"/>
    <w:rsid w:val="007D6C6C"/>
    <w:rsid w:val="007F048B"/>
    <w:rsid w:val="007F0670"/>
    <w:rsid w:val="007F0C40"/>
    <w:rsid w:val="007F4932"/>
    <w:rsid w:val="008042F1"/>
    <w:rsid w:val="008060B0"/>
    <w:rsid w:val="00807C7E"/>
    <w:rsid w:val="00812C98"/>
    <w:rsid w:val="00816CB3"/>
    <w:rsid w:val="00830F64"/>
    <w:rsid w:val="00837963"/>
    <w:rsid w:val="00850601"/>
    <w:rsid w:val="008674BA"/>
    <w:rsid w:val="008815D0"/>
    <w:rsid w:val="00891000"/>
    <w:rsid w:val="00892A7D"/>
    <w:rsid w:val="00895B21"/>
    <w:rsid w:val="008B2B37"/>
    <w:rsid w:val="008C12D7"/>
    <w:rsid w:val="008D4643"/>
    <w:rsid w:val="008D7FFC"/>
    <w:rsid w:val="008E6020"/>
    <w:rsid w:val="008F127C"/>
    <w:rsid w:val="008F21A4"/>
    <w:rsid w:val="008F730C"/>
    <w:rsid w:val="00902BAE"/>
    <w:rsid w:val="00904AC9"/>
    <w:rsid w:val="00911F17"/>
    <w:rsid w:val="00923474"/>
    <w:rsid w:val="0093030A"/>
    <w:rsid w:val="00933140"/>
    <w:rsid w:val="009337A4"/>
    <w:rsid w:val="00940162"/>
    <w:rsid w:val="009530FE"/>
    <w:rsid w:val="009603D6"/>
    <w:rsid w:val="009641E2"/>
    <w:rsid w:val="009643B8"/>
    <w:rsid w:val="00966955"/>
    <w:rsid w:val="00974123"/>
    <w:rsid w:val="00975E3B"/>
    <w:rsid w:val="009776F5"/>
    <w:rsid w:val="009828AC"/>
    <w:rsid w:val="00982DD6"/>
    <w:rsid w:val="009963F6"/>
    <w:rsid w:val="009B20E4"/>
    <w:rsid w:val="009B49AC"/>
    <w:rsid w:val="009C5E22"/>
    <w:rsid w:val="009D3CF0"/>
    <w:rsid w:val="009D6D82"/>
    <w:rsid w:val="009D7018"/>
    <w:rsid w:val="009F0E9D"/>
    <w:rsid w:val="009F1C3B"/>
    <w:rsid w:val="009F32FE"/>
    <w:rsid w:val="00A03277"/>
    <w:rsid w:val="00A23402"/>
    <w:rsid w:val="00A3014C"/>
    <w:rsid w:val="00A3374B"/>
    <w:rsid w:val="00A42398"/>
    <w:rsid w:val="00A51E12"/>
    <w:rsid w:val="00A5206E"/>
    <w:rsid w:val="00A56F7E"/>
    <w:rsid w:val="00A6771A"/>
    <w:rsid w:val="00A8154C"/>
    <w:rsid w:val="00A81D7C"/>
    <w:rsid w:val="00A90B31"/>
    <w:rsid w:val="00AA1CC0"/>
    <w:rsid w:val="00AA366C"/>
    <w:rsid w:val="00AA45A8"/>
    <w:rsid w:val="00AA65EB"/>
    <w:rsid w:val="00AB1FD3"/>
    <w:rsid w:val="00AB46BD"/>
    <w:rsid w:val="00AB4733"/>
    <w:rsid w:val="00AB7CF4"/>
    <w:rsid w:val="00AC490D"/>
    <w:rsid w:val="00AC5541"/>
    <w:rsid w:val="00AD06EB"/>
    <w:rsid w:val="00AD444B"/>
    <w:rsid w:val="00AD7163"/>
    <w:rsid w:val="00AE40B0"/>
    <w:rsid w:val="00AF1048"/>
    <w:rsid w:val="00AF6C74"/>
    <w:rsid w:val="00B01C26"/>
    <w:rsid w:val="00B20F0C"/>
    <w:rsid w:val="00B2218C"/>
    <w:rsid w:val="00B24577"/>
    <w:rsid w:val="00B350EA"/>
    <w:rsid w:val="00B37763"/>
    <w:rsid w:val="00B46029"/>
    <w:rsid w:val="00B473BA"/>
    <w:rsid w:val="00B50517"/>
    <w:rsid w:val="00B53417"/>
    <w:rsid w:val="00B56229"/>
    <w:rsid w:val="00B61518"/>
    <w:rsid w:val="00B630C2"/>
    <w:rsid w:val="00B7157A"/>
    <w:rsid w:val="00B72238"/>
    <w:rsid w:val="00B730CB"/>
    <w:rsid w:val="00B859E4"/>
    <w:rsid w:val="00B969EC"/>
    <w:rsid w:val="00BB1D40"/>
    <w:rsid w:val="00BB3B68"/>
    <w:rsid w:val="00BC4FFC"/>
    <w:rsid w:val="00BD2C6E"/>
    <w:rsid w:val="00BE5292"/>
    <w:rsid w:val="00C079BB"/>
    <w:rsid w:val="00C13CAE"/>
    <w:rsid w:val="00C32A45"/>
    <w:rsid w:val="00C32BBF"/>
    <w:rsid w:val="00C3533D"/>
    <w:rsid w:val="00C5295C"/>
    <w:rsid w:val="00C645D5"/>
    <w:rsid w:val="00C66A55"/>
    <w:rsid w:val="00C67328"/>
    <w:rsid w:val="00C75691"/>
    <w:rsid w:val="00C75F52"/>
    <w:rsid w:val="00C7602B"/>
    <w:rsid w:val="00C90EA8"/>
    <w:rsid w:val="00C945E9"/>
    <w:rsid w:val="00CA5D5E"/>
    <w:rsid w:val="00CB4C0A"/>
    <w:rsid w:val="00CC012C"/>
    <w:rsid w:val="00CC2FCD"/>
    <w:rsid w:val="00CC35D0"/>
    <w:rsid w:val="00CC6BEB"/>
    <w:rsid w:val="00CD0662"/>
    <w:rsid w:val="00CD60DD"/>
    <w:rsid w:val="00CE2900"/>
    <w:rsid w:val="00CF02CB"/>
    <w:rsid w:val="00CF501B"/>
    <w:rsid w:val="00CF5BDF"/>
    <w:rsid w:val="00CF7619"/>
    <w:rsid w:val="00D04853"/>
    <w:rsid w:val="00D2043B"/>
    <w:rsid w:val="00D22E0F"/>
    <w:rsid w:val="00D267B6"/>
    <w:rsid w:val="00D35FF0"/>
    <w:rsid w:val="00D461F9"/>
    <w:rsid w:val="00D5025A"/>
    <w:rsid w:val="00D52873"/>
    <w:rsid w:val="00D52FD7"/>
    <w:rsid w:val="00D70C27"/>
    <w:rsid w:val="00D7763B"/>
    <w:rsid w:val="00D779D8"/>
    <w:rsid w:val="00D84AB7"/>
    <w:rsid w:val="00D94542"/>
    <w:rsid w:val="00DA23D6"/>
    <w:rsid w:val="00DA6FB0"/>
    <w:rsid w:val="00DB018F"/>
    <w:rsid w:val="00DB5FAA"/>
    <w:rsid w:val="00DC477F"/>
    <w:rsid w:val="00DE2CFD"/>
    <w:rsid w:val="00DE7427"/>
    <w:rsid w:val="00DF3A60"/>
    <w:rsid w:val="00DF6AF7"/>
    <w:rsid w:val="00E11517"/>
    <w:rsid w:val="00E12FD8"/>
    <w:rsid w:val="00E14A38"/>
    <w:rsid w:val="00E1690D"/>
    <w:rsid w:val="00E17D4C"/>
    <w:rsid w:val="00E224A3"/>
    <w:rsid w:val="00E23AE2"/>
    <w:rsid w:val="00E24EF7"/>
    <w:rsid w:val="00E315C3"/>
    <w:rsid w:val="00E32560"/>
    <w:rsid w:val="00E32E8C"/>
    <w:rsid w:val="00E3570A"/>
    <w:rsid w:val="00E35877"/>
    <w:rsid w:val="00E40AC0"/>
    <w:rsid w:val="00E55773"/>
    <w:rsid w:val="00E648A0"/>
    <w:rsid w:val="00E659C5"/>
    <w:rsid w:val="00E7024C"/>
    <w:rsid w:val="00E82E6B"/>
    <w:rsid w:val="00E876E5"/>
    <w:rsid w:val="00EB765D"/>
    <w:rsid w:val="00ED3F6A"/>
    <w:rsid w:val="00ED7345"/>
    <w:rsid w:val="00EE4788"/>
    <w:rsid w:val="00EE7963"/>
    <w:rsid w:val="00EF1A5F"/>
    <w:rsid w:val="00F00DF4"/>
    <w:rsid w:val="00F10B00"/>
    <w:rsid w:val="00F10FBB"/>
    <w:rsid w:val="00F121C1"/>
    <w:rsid w:val="00F2296E"/>
    <w:rsid w:val="00F24974"/>
    <w:rsid w:val="00F302E8"/>
    <w:rsid w:val="00F4660F"/>
    <w:rsid w:val="00F46EA0"/>
    <w:rsid w:val="00F63DD9"/>
    <w:rsid w:val="00F641CA"/>
    <w:rsid w:val="00F66533"/>
    <w:rsid w:val="00F6741B"/>
    <w:rsid w:val="00F71CC1"/>
    <w:rsid w:val="00F75CD9"/>
    <w:rsid w:val="00F8027C"/>
    <w:rsid w:val="00F8186C"/>
    <w:rsid w:val="00F87CE4"/>
    <w:rsid w:val="00F9596F"/>
    <w:rsid w:val="00F96612"/>
    <w:rsid w:val="00FA088E"/>
    <w:rsid w:val="00FA1CBB"/>
    <w:rsid w:val="00FA5C4E"/>
    <w:rsid w:val="00FB0C62"/>
    <w:rsid w:val="00FB5BD8"/>
    <w:rsid w:val="00FB76CD"/>
    <w:rsid w:val="00FC0222"/>
    <w:rsid w:val="00FC181D"/>
    <w:rsid w:val="00FC318A"/>
    <w:rsid w:val="00FC36AF"/>
    <w:rsid w:val="00FC58D6"/>
    <w:rsid w:val="00FD760F"/>
    <w:rsid w:val="00FE0AA1"/>
    <w:rsid w:val="00FE0B4B"/>
    <w:rsid w:val="00FE51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638D446-750E-4A26-9D06-0D9B2808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C7B"/>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306C7B"/>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306C7B"/>
    <w:rPr>
      <w:sz w:val="36"/>
      <w:szCs w:val="52"/>
    </w:rPr>
  </w:style>
  <w:style w:type="paragraph" w:customStyle="1" w:styleId="Cover3-Haknesset">
    <w:name w:val="Cover 3-Haknesset"/>
    <w:basedOn w:val="Cover1-Reshumot"/>
    <w:rsid w:val="00306C7B"/>
    <w:rPr>
      <w:b/>
      <w:bCs/>
      <w:spacing w:val="60"/>
    </w:rPr>
  </w:style>
  <w:style w:type="paragraph" w:customStyle="1" w:styleId="Cover4-Date">
    <w:name w:val="Cover 4-Date"/>
    <w:basedOn w:val="a"/>
    <w:rsid w:val="00306C7B"/>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pPr>
      <w:tabs>
        <w:tab w:val="left" w:leader="dot" w:pos="8789"/>
      </w:tabs>
      <w:spacing w:before="120"/>
      <w:ind w:left="284" w:right="284"/>
    </w:pPr>
  </w:style>
  <w:style w:type="paragraph" w:customStyle="1" w:styleId="TOCpg">
    <w:name w:val="TOC pg"/>
    <w:basedOn w:val="TOC"/>
    <w:pPr>
      <w:spacing w:after="120"/>
      <w:ind w:right="567"/>
      <w:jc w:val="right"/>
    </w:pPr>
  </w:style>
  <w:style w:type="paragraph" w:customStyle="1" w:styleId="HeadMitparsemetBaze">
    <w:name w:val="Head MitparsemetBaze"/>
    <w:basedOn w:val="a"/>
    <w:rsid w:val="00306C7B"/>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306C7B"/>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306C7B"/>
    <w:pPr>
      <w:spacing w:before="120" w:after="120"/>
    </w:pPr>
    <w:rPr>
      <w:color w:val="FF0000"/>
      <w:w w:val="80"/>
    </w:rPr>
  </w:style>
  <w:style w:type="paragraph" w:styleId="a3">
    <w:name w:val="endnote text"/>
    <w:basedOn w:val="a"/>
    <w:semiHidden/>
    <w:rsid w:val="00306C7B"/>
    <w:pPr>
      <w:ind w:left="227" w:hanging="227"/>
    </w:pPr>
    <w:rPr>
      <w:sz w:val="14"/>
      <w:szCs w:val="22"/>
    </w:rPr>
  </w:style>
  <w:style w:type="paragraph" w:customStyle="1" w:styleId="TableText">
    <w:name w:val="Table Text"/>
    <w:basedOn w:val="a"/>
    <w:rsid w:val="00306C7B"/>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306C7B"/>
  </w:style>
  <w:style w:type="paragraph" w:customStyle="1" w:styleId="TableBlock">
    <w:name w:val="Table Block"/>
    <w:basedOn w:val="TableText"/>
    <w:rsid w:val="00306C7B"/>
    <w:pPr>
      <w:ind w:right="0"/>
      <w:jc w:val="both"/>
    </w:pPr>
  </w:style>
  <w:style w:type="paragraph" w:customStyle="1" w:styleId="TableHead">
    <w:name w:val="Table Head"/>
    <w:basedOn w:val="TableText"/>
    <w:rsid w:val="00306C7B"/>
    <w:pPr>
      <w:ind w:right="0"/>
      <w:jc w:val="center"/>
    </w:pPr>
    <w:rPr>
      <w:b/>
      <w:bCs/>
    </w:rPr>
  </w:style>
  <w:style w:type="paragraph" w:customStyle="1" w:styleId="TableText2">
    <w:name w:val="Table Text2"/>
    <w:basedOn w:val="TableText"/>
  </w:style>
  <w:style w:type="paragraph" w:customStyle="1" w:styleId="TableInnerSideHeading">
    <w:name w:val="Table InnerSideHeading"/>
    <w:basedOn w:val="TableSideHeading"/>
    <w:rsid w:val="00306C7B"/>
  </w:style>
  <w:style w:type="paragraph" w:customStyle="1" w:styleId="Hesber">
    <w:name w:val="Hesber"/>
    <w:basedOn w:val="a"/>
    <w:rsid w:val="00306C7B"/>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autoRedefine/>
    <w:semiHidden/>
    <w:rsid w:val="00306C7B"/>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5">
    <w:name w:val="footnote reference"/>
    <w:aliases w:val="Footnote Reference"/>
    <w:semiHidden/>
    <w:rsid w:val="00306C7B"/>
    <w:rPr>
      <w:vertAlign w:val="superscript"/>
    </w:rPr>
  </w:style>
  <w:style w:type="paragraph" w:customStyle="1" w:styleId="HesberHeading">
    <w:name w:val="Hesber Heading"/>
    <w:basedOn w:val="Hesber"/>
    <w:rsid w:val="00306C7B"/>
    <w:pPr>
      <w:tabs>
        <w:tab w:val="left" w:pos="624"/>
        <w:tab w:val="left" w:pos="1247"/>
      </w:tabs>
      <w:ind w:firstLine="0"/>
    </w:pPr>
    <w:rPr>
      <w:b/>
      <w:bCs/>
    </w:rPr>
  </w:style>
  <w:style w:type="paragraph" w:customStyle="1" w:styleId="HesberWriters">
    <w:name w:val="Hesber Writers"/>
    <w:basedOn w:val="Hesber"/>
    <w:rsid w:val="00306C7B"/>
    <w:pPr>
      <w:spacing w:before="120" w:after="6000"/>
      <w:ind w:left="1418" w:firstLine="0"/>
      <w:jc w:val="right"/>
    </w:pPr>
    <w:rPr>
      <w:b/>
      <w:bCs/>
    </w:rPr>
  </w:style>
  <w:style w:type="paragraph" w:customStyle="1" w:styleId="Hesber1st">
    <w:name w:val="Hesber 1st"/>
    <w:basedOn w:val="Hesber"/>
    <w:rsid w:val="00306C7B"/>
    <w:pPr>
      <w:tabs>
        <w:tab w:val="left" w:pos="680"/>
        <w:tab w:val="left" w:pos="1020"/>
      </w:tabs>
      <w:ind w:firstLine="0"/>
    </w:pPr>
  </w:style>
  <w:style w:type="character" w:styleId="a6">
    <w:name w:val="endnote reference"/>
    <w:semiHidden/>
    <w:rsid w:val="00306C7B"/>
    <w:rPr>
      <w:vertAlign w:val="superscript"/>
    </w:rPr>
  </w:style>
  <w:style w:type="paragraph" w:customStyle="1" w:styleId="TableBlockOutdent">
    <w:name w:val="Table BlockOutdent"/>
    <w:basedOn w:val="TableBlock"/>
    <w:rsid w:val="00306C7B"/>
    <w:pPr>
      <w:ind w:left="624" w:hanging="624"/>
    </w:pPr>
  </w:style>
  <w:style w:type="paragraph" w:styleId="a7">
    <w:name w:val="header"/>
    <w:basedOn w:val="a"/>
    <w:rsid w:val="00306C7B"/>
    <w:pPr>
      <w:tabs>
        <w:tab w:val="center" w:pos="4153"/>
        <w:tab w:val="right" w:pos="8306"/>
      </w:tabs>
    </w:pPr>
  </w:style>
  <w:style w:type="paragraph" w:styleId="a8">
    <w:name w:val="footer"/>
    <w:basedOn w:val="a"/>
    <w:rsid w:val="00306C7B"/>
    <w:pPr>
      <w:tabs>
        <w:tab w:val="center" w:pos="4153"/>
        <w:tab w:val="right" w:pos="8306"/>
      </w:tabs>
    </w:pPr>
  </w:style>
  <w:style w:type="paragraph" w:customStyle="1" w:styleId="HeadDivreiHesber">
    <w:name w:val="Head DivreiHesber"/>
    <w:basedOn w:val="a"/>
    <w:rsid w:val="00306C7B"/>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306C7B"/>
    <w:pPr>
      <w:snapToGrid w:val="0"/>
      <w:spacing w:before="0" w:line="360" w:lineRule="auto"/>
      <w:jc w:val="left"/>
    </w:pPr>
    <w:rPr>
      <w:rFonts w:ascii="Arial" w:eastAsia="Arial Unicode MS" w:hAnsi="Arial" w:cs="David"/>
      <w:snapToGrid w:val="0"/>
      <w:spacing w:val="0"/>
      <w:sz w:val="20"/>
      <w:szCs w:val="26"/>
    </w:rPr>
  </w:style>
  <w:style w:type="character" w:styleId="a9">
    <w:name w:val="page number"/>
    <w:basedOn w:val="a0"/>
    <w:rsid w:val="00306C7B"/>
  </w:style>
  <w:style w:type="paragraph" w:styleId="aa">
    <w:name w:val="Balloon Text"/>
    <w:basedOn w:val="a"/>
    <w:link w:val="ab"/>
    <w:uiPriority w:val="99"/>
    <w:semiHidden/>
    <w:unhideWhenUsed/>
    <w:rsid w:val="00EE4788"/>
    <w:pPr>
      <w:spacing w:before="0" w:line="240" w:lineRule="auto"/>
    </w:pPr>
    <w:rPr>
      <w:rFonts w:ascii="Tahoma" w:hAnsi="Tahoma" w:cs="Times New Roman"/>
      <w:sz w:val="16"/>
      <w:szCs w:val="16"/>
    </w:rPr>
  </w:style>
  <w:style w:type="character" w:customStyle="1" w:styleId="ab">
    <w:name w:val="טקסט בלונים תו"/>
    <w:link w:val="aa"/>
    <w:uiPriority w:val="99"/>
    <w:semiHidden/>
    <w:rsid w:val="00EE4788"/>
    <w:rPr>
      <w:rFonts w:ascii="Tahoma" w:hAnsi="Tahoma" w:cs="Tahoma"/>
      <w:color w:val="000000"/>
      <w:spacing w:val="1"/>
      <w:sz w:val="16"/>
      <w:szCs w:val="16"/>
      <w:lang w:eastAsia="ja-JP"/>
    </w:rPr>
  </w:style>
  <w:style w:type="table" w:styleId="ac">
    <w:name w:val="Table Grid"/>
    <w:basedOn w:val="a1"/>
    <w:uiPriority w:val="59"/>
    <w:rsid w:val="004F4A9A"/>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rsid w:val="009643B8"/>
    <w:rPr>
      <w:sz w:val="16"/>
      <w:szCs w:val="16"/>
    </w:rPr>
  </w:style>
  <w:style w:type="paragraph" w:styleId="ae">
    <w:name w:val="annotation text"/>
    <w:basedOn w:val="a"/>
    <w:link w:val="af"/>
    <w:rsid w:val="009643B8"/>
    <w:pPr>
      <w:widowControl/>
      <w:autoSpaceDE/>
      <w:autoSpaceDN/>
      <w:adjustRightInd/>
      <w:spacing w:before="0" w:line="240" w:lineRule="auto"/>
      <w:ind w:firstLine="0"/>
      <w:textAlignment w:val="auto"/>
    </w:pPr>
    <w:rPr>
      <w:rFonts w:ascii="Times New Roman" w:eastAsia="Times New Roman" w:hAnsi="Times New Roman" w:cs="David"/>
      <w:color w:val="auto"/>
      <w:spacing w:val="0"/>
      <w:sz w:val="20"/>
      <w:szCs w:val="20"/>
      <w:lang w:eastAsia="he-IL"/>
    </w:rPr>
  </w:style>
  <w:style w:type="character" w:customStyle="1" w:styleId="af">
    <w:name w:val="טקסט הערה תו"/>
    <w:basedOn w:val="a0"/>
    <w:link w:val="ae"/>
    <w:rsid w:val="009643B8"/>
    <w:rPr>
      <w:rFonts w:eastAsia="Times New Roman" w:cs="David"/>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fNumber xmlns="d2589617-2f74-4077-aee7-f516ed639388">43789</RefNumber>
  </documentManagement>
</p:properties>
</file>

<file path=customXml/item4.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29BF14D-445F-4ED6-A6C6-533B70736523}">
  <ds:schemaRefs>
    <ds:schemaRef ds:uri="http://schemas.microsoft.com/office/2006/metadata/longProperties"/>
  </ds:schemaRefs>
</ds:datastoreItem>
</file>

<file path=customXml/itemProps2.xml><?xml version="1.0" encoding="utf-8"?>
<ds:datastoreItem xmlns:ds="http://schemas.openxmlformats.org/officeDocument/2006/customXml" ds:itemID="{7D9A90CC-EFC9-4531-92DF-6CC2C6EF2E5D}">
  <ds:schemaRefs>
    <ds:schemaRef ds:uri="http://schemas.microsoft.com/sharepoint/v3/contenttype/forms"/>
  </ds:schemaRefs>
</ds:datastoreItem>
</file>

<file path=customXml/itemProps3.xml><?xml version="1.0" encoding="utf-8"?>
<ds:datastoreItem xmlns:ds="http://schemas.openxmlformats.org/officeDocument/2006/customXml" ds:itemID="{0B106838-B2E4-4D47-A0F1-E2BF216A5F0A}">
  <ds:schemaRefs>
    <ds:schemaRef ds:uri="http://schemas.microsoft.com/office/2006/metadata/properties"/>
    <ds:schemaRef ds:uri="d2589617-2f74-4077-aee7-f516ed639388"/>
  </ds:schemaRefs>
</ds:datastoreItem>
</file>

<file path=customXml/itemProps4.xml><?xml version="1.0" encoding="utf-8"?>
<ds:datastoreItem xmlns:ds="http://schemas.openxmlformats.org/officeDocument/2006/customXml" ds:itemID="{BD5F09FE-C087-4978-9F43-E209A6B5C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1186</Words>
  <Characters>5931</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להעלות טלי חברה שקופה 29.1.docx</vt:lpstr>
    </vt:vector>
  </TitlesOfParts>
  <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להעלות טלי חברה שקופה 29.1.docx</dc:title>
  <dc:creator>xxkeren</dc:creator>
  <cp:lastModifiedBy>dalia</cp:lastModifiedBy>
  <cp:revision>2</cp:revision>
  <cp:lastPrinted>2011-05-11T13:21:00Z</cp:lastPrinted>
  <dcterms:created xsi:type="dcterms:W3CDTF">2018-01-29T15:13:00Z</dcterms:created>
  <dcterms:modified xsi:type="dcterms:W3CDTF">2018-01-29T15:13:00Z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2011-180.doc</vt:lpwstr>
  </property>
  <property fmtid="{D5CDD505-2E9C-101B-9397-08002B2CF9AE}" pid="3" name="ContentTypeId">
    <vt:lpwstr>0x010100161B5BAE19C0A94ABF7F052772C71F14</vt:lpwstr>
  </property>
</Properties>
</file>